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65C1" w14:textId="77777777" w:rsidR="00020616" w:rsidRPr="00020616" w:rsidRDefault="00020616" w:rsidP="00020616">
      <w:pPr>
        <w:pStyle w:val="Normlnweb"/>
        <w:rPr>
          <w:rFonts w:asciiTheme="minorHAnsi" w:hAnsiTheme="minorHAnsi" w:cs="Arial"/>
          <w:b/>
          <w:color w:val="333333"/>
          <w:sz w:val="28"/>
          <w:szCs w:val="28"/>
        </w:rPr>
      </w:pPr>
      <w:r w:rsidRPr="00020616">
        <w:rPr>
          <w:rFonts w:asciiTheme="minorHAnsi" w:hAnsiTheme="minorHAnsi" w:cs="Arial"/>
          <w:b/>
          <w:color w:val="333333"/>
          <w:sz w:val="28"/>
          <w:szCs w:val="28"/>
        </w:rPr>
        <w:t xml:space="preserve">Pražané chtějí nové stavby, ale ne v těsném sousedství. Dohodu je třeba hledat včas </w:t>
      </w:r>
    </w:p>
    <w:p w14:paraId="1E1A6965" w14:textId="65D15D7D" w:rsidR="00020616" w:rsidRPr="00020616" w:rsidRDefault="00020616" w:rsidP="00020616">
      <w:pPr>
        <w:pStyle w:val="Normlnweb"/>
        <w:rPr>
          <w:rFonts w:asciiTheme="minorHAnsi" w:hAnsiTheme="minorHAnsi" w:cs="Arial"/>
          <w:b/>
          <w:color w:val="333333"/>
          <w:sz w:val="22"/>
          <w:szCs w:val="22"/>
        </w:rPr>
      </w:pPr>
      <w:r w:rsidRPr="00020616">
        <w:rPr>
          <w:rFonts w:asciiTheme="minorHAnsi" w:hAnsiTheme="minorHAnsi" w:cs="Arial"/>
          <w:i/>
          <w:color w:val="333333"/>
          <w:sz w:val="22"/>
          <w:szCs w:val="22"/>
        </w:rPr>
        <w:t>Praha, 1</w:t>
      </w:r>
      <w:r w:rsidR="00C71143">
        <w:rPr>
          <w:rFonts w:asciiTheme="minorHAnsi" w:hAnsiTheme="minorHAnsi" w:cs="Arial"/>
          <w:i/>
          <w:color w:val="333333"/>
          <w:sz w:val="22"/>
          <w:szCs w:val="22"/>
        </w:rPr>
        <w:t>6</w:t>
      </w:r>
      <w:r w:rsidRPr="00020616">
        <w:rPr>
          <w:rFonts w:asciiTheme="minorHAnsi" w:hAnsiTheme="minorHAnsi" w:cs="Arial"/>
          <w:i/>
          <w:color w:val="333333"/>
          <w:sz w:val="22"/>
          <w:szCs w:val="22"/>
        </w:rPr>
        <w:t>. 4. 2018 –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020616">
        <w:rPr>
          <w:rFonts w:asciiTheme="minorHAnsi" w:hAnsiTheme="minorHAnsi" w:cs="Arial"/>
          <w:b/>
          <w:color w:val="333333"/>
          <w:sz w:val="22"/>
          <w:szCs w:val="22"/>
        </w:rPr>
        <w:t>Průzkum veřejného mínění, který zadalo Sdružení pro architekturu a rozvoj, ukázal, že Pražané nejsou zdaleka tak nepřátelští vůči nové výstavbě, jak by se mohlo zdát z médií či chování politiků. Z výzkumu agentury Ipsos vyplynulo, že 59 % Pražanů je přesvědčeno, že v jejich rodném městě se má stavět více (rozhodně ano; spíše ano), zatímco opačného mínění je pouze 11 % (rozhodně ne), spolu s odpověďmi „spíše ne“ pak 36 %. Poměr nepřátel nové výstavby vůči jejím zastáncům je tak jedna třetina ku dvěma.</w:t>
      </w:r>
      <w:bookmarkStart w:id="0" w:name="_GoBack"/>
      <w:bookmarkEnd w:id="0"/>
    </w:p>
    <w:p w14:paraId="7649F7B8" w14:textId="77777777" w:rsidR="00020616" w:rsidRPr="00020616" w:rsidRDefault="00020616" w:rsidP="00020616">
      <w:pPr>
        <w:spacing w:before="100" w:beforeAutospacing="1" w:after="300" w:line="240" w:lineRule="auto"/>
        <w:rPr>
          <w:rFonts w:eastAsia="Times New Roman" w:cs="Times New Roman"/>
          <w:color w:val="4A414A"/>
          <w:lang w:eastAsia="cs-CZ"/>
        </w:rPr>
      </w:pPr>
      <w:r w:rsidRPr="00020616">
        <w:rPr>
          <w:rFonts w:eastAsia="Times New Roman" w:cs="Times New Roman"/>
          <w:color w:val="4A414A"/>
          <w:lang w:eastAsia="cs-CZ"/>
        </w:rPr>
        <w:t>Přestože si ale téměř 60 procent Pražanů myslí, že by se v metropoli mělo více stavět a snižování dostupnosti bydlení považují za velký problém, více než polovině z nich by vadila výstavba rezidenčních budov v jejich sousedství. Více než 23 procent dotázaných by proti ní dokonce aktivně protestovalo. Co s tím? Občané by měli vědět, že ten správný okamžik, kdy mohou zásadně ovlivnit to, jak bude vypadat jejich bezprostřední okolí, je v době vzniku územně – plánovací dokumentace.</w:t>
      </w:r>
    </w:p>
    <w:p w14:paraId="0EB1383F" w14:textId="77777777" w:rsidR="00020616" w:rsidRPr="00020616" w:rsidRDefault="00020616" w:rsidP="00020616">
      <w:pPr>
        <w:spacing w:after="0" w:line="240" w:lineRule="auto"/>
        <w:rPr>
          <w:rFonts w:eastAsia="Times New Roman" w:cs="Times New Roman"/>
          <w:b/>
          <w:color w:val="4A414A"/>
          <w:lang w:eastAsia="cs-CZ"/>
        </w:rPr>
      </w:pPr>
      <w:r w:rsidRPr="00020616">
        <w:rPr>
          <w:rFonts w:eastAsia="Times New Roman" w:cs="Times New Roman"/>
          <w:b/>
          <w:color w:val="4A414A"/>
          <w:lang w:eastAsia="cs-CZ"/>
        </w:rPr>
        <w:t>Dohodu je třeba hledat včas a lokálně</w:t>
      </w:r>
    </w:p>
    <w:p w14:paraId="3FC779AA" w14:textId="79B1C7F2" w:rsidR="00020616" w:rsidRPr="00020616" w:rsidRDefault="00020616" w:rsidP="00020616">
      <w:pPr>
        <w:spacing w:after="0" w:line="240" w:lineRule="auto"/>
        <w:rPr>
          <w:rFonts w:eastAsia="Times New Roman" w:cs="Times New Roman"/>
          <w:color w:val="4A414A"/>
          <w:lang w:eastAsia="cs-CZ"/>
        </w:rPr>
      </w:pPr>
      <w:r w:rsidRPr="00020616">
        <w:rPr>
          <w:rFonts w:eastAsia="Times New Roman" w:cs="Times New Roman"/>
          <w:color w:val="4A414A"/>
          <w:lang w:eastAsia="cs-CZ"/>
        </w:rPr>
        <w:t>Plánovací dokumentace stanoví, jaká a jak velká stavba může na daném místě vyrůst a pro vlastníka pozemku zakládá při splnění nespočtu dalších zákonných podmínek právo takovou budovu postavit. Pokud se proces hledání dohody všech aktérů procesu – veřejnosti, státní správy</w:t>
      </w:r>
      <w:r>
        <w:rPr>
          <w:rFonts w:eastAsia="Times New Roman" w:cs="Times New Roman"/>
          <w:color w:val="4A414A"/>
          <w:lang w:eastAsia="cs-CZ"/>
        </w:rPr>
        <w:t>,</w:t>
      </w:r>
      <w:r w:rsidRPr="00020616">
        <w:rPr>
          <w:rFonts w:eastAsia="Times New Roman" w:cs="Times New Roman"/>
          <w:color w:val="4A414A"/>
          <w:lang w:eastAsia="cs-CZ"/>
        </w:rPr>
        <w:t xml:space="preserve"> samosprávy a investora – přesune ale na jeden konkrétní dům v době, kdy je u stavebního úřadu zažádáno o územní rozhodnutí nebo stavební povolení, bývá často důsledkem jen právní bitva, která nepřinese nic dobrého ani jedné straně sporu.   </w:t>
      </w:r>
    </w:p>
    <w:p w14:paraId="6293521C" w14:textId="5E33B8A3" w:rsidR="00020616" w:rsidRPr="00020616" w:rsidRDefault="00020616" w:rsidP="00020616">
      <w:pPr>
        <w:pStyle w:val="Normlnweb"/>
        <w:rPr>
          <w:rFonts w:asciiTheme="minorHAnsi" w:hAnsiTheme="minorHAnsi"/>
          <w:b/>
          <w:sz w:val="22"/>
          <w:szCs w:val="22"/>
        </w:rPr>
      </w:pPr>
      <w:r w:rsidRPr="00020616">
        <w:rPr>
          <w:rFonts w:asciiTheme="minorHAnsi" w:hAnsiTheme="minorHAnsi"/>
          <w:i/>
          <w:sz w:val="22"/>
          <w:szCs w:val="22"/>
        </w:rPr>
        <w:t>„Konkrétní požadavky na stavby a místní souvislosti by se měly promítnout především do zastavovacích plánů. Právě nad nimi by ideálně měla vzniknout společenská dohoda o využívání území. Pokud se proces hledání dohody přesune na jednu konkrétní budovu, může být již pozdě a dostatečně se nezohlední souvislosti místa. Pokud se tato dohoda přenáší na úroveň územních plánů, může být nalezení právně exaktní dohody nad lidské síly, jak se to ukazuje například v Praze a Brně,“</w:t>
      </w:r>
      <w:r w:rsidRPr="00020616">
        <w:rPr>
          <w:rFonts w:asciiTheme="minorHAnsi" w:hAnsiTheme="minorHAnsi"/>
          <w:sz w:val="22"/>
          <w:szCs w:val="22"/>
        </w:rPr>
        <w:t xml:space="preserve"> ř</w:t>
      </w:r>
      <w:r>
        <w:rPr>
          <w:rFonts w:asciiTheme="minorHAnsi" w:hAnsiTheme="minorHAnsi"/>
          <w:sz w:val="22"/>
          <w:szCs w:val="22"/>
        </w:rPr>
        <w:t>ekl</w:t>
      </w:r>
      <w:r w:rsidRPr="00020616">
        <w:rPr>
          <w:rFonts w:asciiTheme="minorHAnsi" w:hAnsiTheme="minorHAnsi"/>
          <w:sz w:val="22"/>
          <w:szCs w:val="22"/>
        </w:rPr>
        <w:t xml:space="preserve"> </w:t>
      </w:r>
      <w:r w:rsidRPr="00020616">
        <w:rPr>
          <w:rFonts w:asciiTheme="minorHAnsi" w:hAnsiTheme="minorHAnsi"/>
          <w:b/>
          <w:sz w:val="22"/>
          <w:szCs w:val="22"/>
        </w:rPr>
        <w:t>architekt, urbanista,</w:t>
      </w:r>
      <w:r w:rsidRPr="00020616">
        <w:rPr>
          <w:rFonts w:asciiTheme="minorHAnsi" w:hAnsiTheme="minorHAnsi"/>
          <w:sz w:val="22"/>
          <w:szCs w:val="22"/>
        </w:rPr>
        <w:t xml:space="preserve"> </w:t>
      </w:r>
      <w:r w:rsidRPr="00020616">
        <w:rPr>
          <w:rFonts w:asciiTheme="minorHAnsi" w:hAnsiTheme="minorHAnsi"/>
          <w:b/>
          <w:sz w:val="22"/>
          <w:szCs w:val="22"/>
        </w:rPr>
        <w:t xml:space="preserve">autor Pražských stavebních předpisů a člen Sdružení pro architekturu a rozvoj Pavel Hnilička. </w:t>
      </w:r>
    </w:p>
    <w:p w14:paraId="48C1F6D4" w14:textId="013F408D" w:rsidR="00020616" w:rsidRPr="00020616" w:rsidRDefault="00020616" w:rsidP="00020616">
      <w:pPr>
        <w:pStyle w:val="Normlnweb"/>
        <w:rPr>
          <w:rFonts w:asciiTheme="minorHAnsi" w:hAnsiTheme="minorHAnsi"/>
          <w:i/>
          <w:sz w:val="22"/>
          <w:szCs w:val="22"/>
        </w:rPr>
      </w:pPr>
      <w:r w:rsidRPr="00020616">
        <w:rPr>
          <w:rFonts w:asciiTheme="minorHAnsi" w:hAnsiTheme="minorHAnsi"/>
          <w:sz w:val="22"/>
          <w:szCs w:val="22"/>
        </w:rPr>
        <w:t xml:space="preserve">Územní plány měst nemohou nahradit lokální plánovací dokumenty, které se u nás ale nevyužívají. Pokud by tomu tak bylo, šanci ovlivnit své okolí by občané dostali jednou za dvacet let, kdy se projednává nový územní plán, a o jejich bezprostředních zájmech by mohli rozhodovat lidé z opačného konce města. </w:t>
      </w:r>
      <w:r w:rsidRPr="00020616">
        <w:rPr>
          <w:rFonts w:asciiTheme="minorHAnsi" w:hAnsiTheme="minorHAnsi"/>
          <w:i/>
          <w:sz w:val="22"/>
          <w:szCs w:val="22"/>
        </w:rPr>
        <w:t xml:space="preserve">„Veřejnost musí samozřejmě mít možnost ovlivnit veškerou územně plánovací dokumentaci tak, aby byla reprezentativní a vydržela v čase. Výhodou zastavovacího plánu ovšem je, že se dotýká menšího počtu majitelů pozemků, oproti celé obci nebo městu, a tak je snazší najít opravdovou smluvní dohodu,“ </w:t>
      </w:r>
      <w:r w:rsidRPr="00020616">
        <w:rPr>
          <w:rFonts w:asciiTheme="minorHAnsi" w:hAnsiTheme="minorHAnsi"/>
          <w:sz w:val="22"/>
          <w:szCs w:val="22"/>
        </w:rPr>
        <w:t>dod</w:t>
      </w:r>
      <w:r>
        <w:rPr>
          <w:rFonts w:asciiTheme="minorHAnsi" w:hAnsiTheme="minorHAnsi"/>
          <w:sz w:val="22"/>
          <w:szCs w:val="22"/>
        </w:rPr>
        <w:t>al</w:t>
      </w:r>
      <w:r w:rsidRPr="00020616">
        <w:rPr>
          <w:rFonts w:asciiTheme="minorHAnsi" w:hAnsiTheme="minorHAnsi"/>
          <w:sz w:val="22"/>
          <w:szCs w:val="22"/>
        </w:rPr>
        <w:t xml:space="preserve"> Hnilička.</w:t>
      </w:r>
      <w:r w:rsidRPr="00020616">
        <w:rPr>
          <w:rFonts w:asciiTheme="minorHAnsi" w:hAnsiTheme="minorHAnsi"/>
          <w:i/>
          <w:sz w:val="22"/>
          <w:szCs w:val="22"/>
        </w:rPr>
        <w:t xml:space="preserve"> </w:t>
      </w:r>
    </w:p>
    <w:p w14:paraId="54270A1E" w14:textId="77777777" w:rsidR="00020616" w:rsidRPr="00020616" w:rsidRDefault="00020616" w:rsidP="00020616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20616">
        <w:rPr>
          <w:rFonts w:asciiTheme="minorHAnsi" w:hAnsiTheme="minorHAnsi"/>
          <w:b/>
          <w:sz w:val="22"/>
          <w:szCs w:val="22"/>
        </w:rPr>
        <w:t xml:space="preserve">Hlavně ne u mě na dvoře </w:t>
      </w:r>
    </w:p>
    <w:p w14:paraId="78BBF856" w14:textId="77777777" w:rsidR="00020616" w:rsidRPr="00020616" w:rsidRDefault="00020616" w:rsidP="00020616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20616">
        <w:t xml:space="preserve">To, že lidé jsou celkem logicky mnohem citlivější na to, co se má odehrát u nich za plotem, doložil průzkum, ve kterém SAR mapovala známý fenomén NIMBY. </w:t>
      </w:r>
      <w:r w:rsidRPr="00020616">
        <w:rPr>
          <w:rFonts w:eastAsia="Times New Roman" w:cs="Times New Roman"/>
          <w:lang w:eastAsia="cs-CZ"/>
        </w:rPr>
        <w:t xml:space="preserve">Pražané sice nechtějí, aby rostly ceny nových bytů, a snižování dostupnosti vlastního bydlení považují za velký problém (57,7 %), více než polovině dotázaných by ale vadila výstavba rezidenčních budov v jejich sousedství. Více než 23 </w:t>
      </w:r>
      <w:r w:rsidRPr="00020616">
        <w:rPr>
          <w:rFonts w:eastAsia="Times New Roman" w:cs="Times New Roman"/>
          <w:lang w:eastAsia="cs-CZ"/>
        </w:rPr>
        <w:lastRenderedPageBreak/>
        <w:t xml:space="preserve">procent dotázaných by proti ní dokonce aktivně protestovalo. Kdyby ovšem bytové domy rostly o dva kilometry dál, už by protestovalo „jen“ 12 procent dotázaných. </w:t>
      </w:r>
      <w:r w:rsidRPr="00020616">
        <w:rPr>
          <w:rFonts w:eastAsia="Times New Roman" w:cs="Times New Roman"/>
          <w:i/>
          <w:iCs/>
          <w:lang w:eastAsia="cs-CZ"/>
        </w:rPr>
        <w:t xml:space="preserve">„Lidé chtějí, aby se stavělo, ale ne v blízkosti jejich bydliště. Pak by ale k rozvoji města nemohlo nikdy dojít, protože rozvoj bude vždy z pohledu obyvatel dost blízko jejich domů. Postoj NIMBY (Not in My </w:t>
      </w:r>
      <w:proofErr w:type="spellStart"/>
      <w:r w:rsidRPr="00020616">
        <w:rPr>
          <w:rFonts w:eastAsia="Times New Roman" w:cs="Times New Roman"/>
          <w:i/>
          <w:iCs/>
          <w:lang w:eastAsia="cs-CZ"/>
        </w:rPr>
        <w:t>Back</w:t>
      </w:r>
      <w:proofErr w:type="spellEnd"/>
      <w:r w:rsidRPr="00020616">
        <w:rPr>
          <w:rFonts w:eastAsia="Times New Roman" w:cs="Times New Roman"/>
          <w:i/>
          <w:iCs/>
          <w:lang w:eastAsia="cs-CZ"/>
        </w:rPr>
        <w:t xml:space="preserve"> Yard) je celkem přirozený, mám ale pocit, že jen u nás na rozdíl od jiných zemí vede k tomu, že se ani při splnění všech zákonných podmínek nestaví,“</w:t>
      </w:r>
      <w:r w:rsidRPr="00020616">
        <w:rPr>
          <w:rFonts w:eastAsia="Times New Roman" w:cs="Times New Roman"/>
          <w:lang w:eastAsia="cs-CZ"/>
        </w:rPr>
        <w:t xml:space="preserve"> soudí </w:t>
      </w:r>
      <w:r w:rsidRPr="00020616">
        <w:rPr>
          <w:rFonts w:eastAsia="Times New Roman" w:cs="Times New Roman"/>
          <w:b/>
          <w:lang w:eastAsia="cs-CZ"/>
        </w:rPr>
        <w:t xml:space="preserve">Renáta Pintová Králová, odbornice na stavební právo a členka SAR. </w:t>
      </w:r>
    </w:p>
    <w:p w14:paraId="0C6FDA1D" w14:textId="15FB8751" w:rsidR="00020616" w:rsidRDefault="001F53DB" w:rsidP="00020616">
      <w:pPr>
        <w:spacing w:before="100" w:beforeAutospacing="1" w:after="300" w:line="240" w:lineRule="auto"/>
        <w:rPr>
          <w:rFonts w:eastAsia="Times New Roman" w:cs="Times New Roman"/>
          <w:b/>
          <w:lang w:eastAsia="cs-CZ"/>
        </w:rPr>
      </w:pPr>
      <w:r>
        <w:rPr>
          <w:noProof/>
          <w:lang w:eastAsia="cs-CZ"/>
        </w:rPr>
        <w:drawing>
          <wp:inline distT="0" distB="0" distL="0" distR="0" wp14:anchorId="52C23763" wp14:editId="0FBB0D57">
            <wp:extent cx="5759450" cy="275052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5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FA78" w14:textId="055AEE2D" w:rsidR="00020616" w:rsidRPr="00020616" w:rsidRDefault="00020616" w:rsidP="00020616">
      <w:pPr>
        <w:spacing w:before="100" w:beforeAutospacing="1" w:after="300" w:line="240" w:lineRule="auto"/>
        <w:rPr>
          <w:rFonts w:eastAsia="Times New Roman" w:cs="Times New Roman"/>
          <w:lang w:eastAsia="cs-CZ"/>
        </w:rPr>
      </w:pPr>
      <w:r w:rsidRPr="00020616">
        <w:rPr>
          <w:rFonts w:eastAsia="Times New Roman" w:cs="Times New Roman"/>
          <w:b/>
          <w:lang w:eastAsia="cs-CZ"/>
        </w:rPr>
        <w:t>Jiří Plos, právník a kunsthistorik</w:t>
      </w:r>
      <w:r w:rsidRPr="00020616">
        <w:rPr>
          <w:rFonts w:eastAsia="Times New Roman" w:cs="Times New Roman"/>
          <w:lang w:eastAsia="cs-CZ"/>
        </w:rPr>
        <w:t xml:space="preserve">, vidí příčinu v tom, že nejsou nastavena jasná pravidla, jak by dohoda o území měla vypadat a jak by se k ní mělo dospět. </w:t>
      </w:r>
      <w:r w:rsidRPr="00020616">
        <w:rPr>
          <w:rFonts w:eastAsia="Times New Roman" w:cs="Times New Roman"/>
          <w:i/>
          <w:lang w:eastAsia="cs-CZ"/>
        </w:rPr>
        <w:t>„Česká legislativa považuje stavebníky za zločince a oni musejí v průběhu povolovacího procesu dokazovat, že jimi nejsou,“</w:t>
      </w:r>
      <w:r w:rsidRPr="00020616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uvedl</w:t>
      </w:r>
      <w:r w:rsidRPr="00020616">
        <w:rPr>
          <w:rFonts w:eastAsia="Times New Roman" w:cs="Times New Roman"/>
          <w:lang w:eastAsia="cs-CZ"/>
        </w:rPr>
        <w:t xml:space="preserve"> Plos. Stavební zákon na jednu stranu říká, že o námitkách k jednotlivým záměrům by mělo být rozhodnuto v co nejdříve, na druhou stranu vyjednávání o využití území směřuje do stádia umísťování konkrétní stavby, kdy už je pozdě. </w:t>
      </w:r>
      <w:r w:rsidRPr="00020616">
        <w:rPr>
          <w:rFonts w:eastAsia="Times New Roman" w:cs="Times New Roman"/>
          <w:i/>
          <w:lang w:eastAsia="cs-CZ"/>
        </w:rPr>
        <w:t xml:space="preserve">„Veřejný zájem má být občany prosazován ve chvílích, kdy se koncipují základní teze a témata v jejich obvodu,“ </w:t>
      </w:r>
      <w:r w:rsidRPr="00020616">
        <w:rPr>
          <w:rFonts w:eastAsia="Times New Roman" w:cs="Times New Roman"/>
          <w:lang w:eastAsia="cs-CZ"/>
        </w:rPr>
        <w:t>dod</w:t>
      </w:r>
      <w:r>
        <w:rPr>
          <w:rFonts w:eastAsia="Times New Roman" w:cs="Times New Roman"/>
          <w:lang w:eastAsia="cs-CZ"/>
        </w:rPr>
        <w:t>al Plos</w:t>
      </w:r>
      <w:r w:rsidRPr="00020616">
        <w:rPr>
          <w:rFonts w:eastAsia="Times New Roman" w:cs="Times New Roman"/>
          <w:lang w:eastAsia="cs-CZ"/>
        </w:rPr>
        <w:t xml:space="preserve">. Podle něho bude třeba v rámci rektifikace stavebního práva změnit právě i systém územního plánování. </w:t>
      </w:r>
    </w:p>
    <w:p w14:paraId="64BFB7EA" w14:textId="77777777" w:rsidR="00020616" w:rsidRPr="00020616" w:rsidRDefault="00020616" w:rsidP="00020616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20616">
        <w:rPr>
          <w:rFonts w:eastAsia="Times New Roman" w:cs="Times New Roman"/>
          <w:b/>
          <w:lang w:eastAsia="cs-CZ"/>
        </w:rPr>
        <w:t>Limity participace</w:t>
      </w:r>
    </w:p>
    <w:p w14:paraId="7021D7B7" w14:textId="74C130AB" w:rsidR="00135A51" w:rsidRPr="001F53DB" w:rsidRDefault="00020616" w:rsidP="001F53DB">
      <w:pPr>
        <w:spacing w:after="0" w:line="240" w:lineRule="auto"/>
        <w:rPr>
          <w:rFonts w:eastAsia="Times New Roman" w:cs="Times New Roman"/>
          <w:lang w:eastAsia="cs-CZ"/>
        </w:rPr>
      </w:pPr>
      <w:r w:rsidRPr="00020616">
        <w:rPr>
          <w:rFonts w:eastAsia="Times New Roman" w:cs="Times New Roman"/>
          <w:lang w:eastAsia="cs-CZ"/>
        </w:rPr>
        <w:t>Dnes je velmi módní pojem participace. Informovat občany o tom, co se v jejich okolí chytá, co to</w:t>
      </w:r>
      <w:r>
        <w:rPr>
          <w:rFonts w:eastAsia="Times New Roman" w:cs="Times New Roman"/>
          <w:lang w:eastAsia="cs-CZ"/>
        </w:rPr>
        <w:t xml:space="preserve"> </w:t>
      </w:r>
      <w:r w:rsidRPr="00020616">
        <w:rPr>
          <w:rFonts w:eastAsia="Times New Roman" w:cs="Times New Roman"/>
          <w:lang w:eastAsia="cs-CZ"/>
        </w:rPr>
        <w:t>komu přinese dobrého, ale i zlého, je v zájmu samotných developerů a snaha zapojit místní do plánování projektu se jim může vyplatit. Veřejnost už ale ve fázi územního rozhodování nemůže očekávat zásadní změny projektu. „Dohoda o území“ už je součástí územního plánu, který stanovuje, co na daném pozemku je možné postavit</w:t>
      </w:r>
      <w:r w:rsidRPr="00020616">
        <w:rPr>
          <w:rFonts w:eastAsia="Times New Roman" w:cs="Times New Roman"/>
          <w:i/>
          <w:lang w:eastAsia="cs-CZ"/>
        </w:rPr>
        <w:t xml:space="preserve">. „Na příkladu Parkové čtvrti na Žižkově jsme si ověřili, že občané mohou přijmout stavební záměr i pozitivně. </w:t>
      </w:r>
      <w:r w:rsidR="002F018D">
        <w:rPr>
          <w:rFonts w:eastAsia="Times New Roman" w:cs="Times New Roman"/>
          <w:i/>
          <w:lang w:eastAsia="cs-CZ"/>
        </w:rPr>
        <w:t>Stačí jim připravovanou výstavbu trpělivě vysvětlovat a o názory místních se zajímat.</w:t>
      </w:r>
      <w:r w:rsidR="0034411E">
        <w:rPr>
          <w:rFonts w:eastAsia="Times New Roman" w:cs="Times New Roman"/>
          <w:i/>
          <w:lang w:eastAsia="cs-CZ"/>
        </w:rPr>
        <w:t xml:space="preserve"> Vzhledem k pokročilé fázi přípravy jsme d</w:t>
      </w:r>
      <w:r w:rsidR="002F018D">
        <w:rPr>
          <w:rFonts w:eastAsia="Times New Roman" w:cs="Times New Roman"/>
          <w:i/>
          <w:lang w:eastAsia="cs-CZ"/>
        </w:rPr>
        <w:t xml:space="preserve">ali lidem z okolí možnost promluvit alespoň do toho, co se jich bude týkat především, a tedy do </w:t>
      </w:r>
      <w:r w:rsidRPr="00020616">
        <w:rPr>
          <w:rFonts w:eastAsia="Times New Roman" w:cs="Times New Roman"/>
          <w:i/>
          <w:lang w:eastAsia="cs-CZ"/>
        </w:rPr>
        <w:t>skladb</w:t>
      </w:r>
      <w:r w:rsidR="002F018D">
        <w:rPr>
          <w:rFonts w:eastAsia="Times New Roman" w:cs="Times New Roman"/>
          <w:i/>
          <w:lang w:eastAsia="cs-CZ"/>
        </w:rPr>
        <w:t>y obchodů a prostorů pro služby</w:t>
      </w:r>
      <w:r w:rsidRPr="00020616">
        <w:rPr>
          <w:rFonts w:eastAsia="Times New Roman" w:cs="Times New Roman"/>
          <w:i/>
          <w:lang w:eastAsia="cs-CZ"/>
        </w:rPr>
        <w:t xml:space="preserve"> a </w:t>
      </w:r>
      <w:r w:rsidR="002F018D">
        <w:rPr>
          <w:rFonts w:eastAsia="Times New Roman" w:cs="Times New Roman"/>
          <w:i/>
          <w:lang w:eastAsia="cs-CZ"/>
        </w:rPr>
        <w:t xml:space="preserve">také do toho, </w:t>
      </w:r>
      <w:r w:rsidRPr="00020616">
        <w:rPr>
          <w:rFonts w:eastAsia="Times New Roman" w:cs="Times New Roman"/>
          <w:i/>
          <w:lang w:eastAsia="cs-CZ"/>
        </w:rPr>
        <w:t>jak bude vypadat veřejný prostor</w:t>
      </w:r>
      <w:r w:rsidR="002F018D">
        <w:rPr>
          <w:rFonts w:eastAsia="Times New Roman" w:cs="Times New Roman"/>
          <w:i/>
          <w:lang w:eastAsia="cs-CZ"/>
        </w:rPr>
        <w:t xml:space="preserve">, třeba jakou formu zaměření </w:t>
      </w:r>
      <w:proofErr w:type="spellStart"/>
      <w:r w:rsidR="002F018D">
        <w:rPr>
          <w:rFonts w:eastAsia="Times New Roman" w:cs="Times New Roman"/>
          <w:i/>
          <w:lang w:eastAsia="cs-CZ"/>
        </w:rPr>
        <w:t>ekoparku</w:t>
      </w:r>
      <w:proofErr w:type="spellEnd"/>
      <w:r w:rsidR="002F018D">
        <w:rPr>
          <w:rFonts w:eastAsia="Times New Roman" w:cs="Times New Roman"/>
          <w:i/>
          <w:lang w:eastAsia="cs-CZ"/>
        </w:rPr>
        <w:t xml:space="preserve"> by zvolili</w:t>
      </w:r>
      <w:r w:rsidRPr="00020616">
        <w:rPr>
          <w:rFonts w:eastAsia="Times New Roman" w:cs="Times New Roman"/>
          <w:i/>
          <w:lang w:eastAsia="cs-CZ"/>
        </w:rPr>
        <w:t>,“</w:t>
      </w:r>
      <w:r w:rsidR="002F018D">
        <w:rPr>
          <w:rFonts w:eastAsia="Times New Roman" w:cs="Times New Roman"/>
          <w:i/>
          <w:lang w:eastAsia="cs-CZ"/>
        </w:rPr>
        <w:t xml:space="preserve"> sdělil </w:t>
      </w:r>
      <w:r w:rsidRPr="00020616">
        <w:rPr>
          <w:rFonts w:eastAsia="Times New Roman" w:cs="Times New Roman"/>
          <w:lang w:eastAsia="cs-CZ"/>
        </w:rPr>
        <w:t xml:space="preserve">pozitivní zkušenost </w:t>
      </w:r>
      <w:r w:rsidRPr="002F018D">
        <w:rPr>
          <w:rFonts w:eastAsia="Times New Roman" w:cs="Times New Roman"/>
          <w:b/>
          <w:lang w:eastAsia="cs-CZ"/>
        </w:rPr>
        <w:t xml:space="preserve">Dušan Kunovský, majitel společnosti </w:t>
      </w:r>
      <w:proofErr w:type="spellStart"/>
      <w:r w:rsidRPr="002F018D">
        <w:rPr>
          <w:rFonts w:eastAsia="Times New Roman" w:cs="Times New Roman"/>
          <w:b/>
          <w:lang w:eastAsia="cs-CZ"/>
        </w:rPr>
        <w:t>Central</w:t>
      </w:r>
      <w:proofErr w:type="spellEnd"/>
      <w:r w:rsidRPr="002F018D">
        <w:rPr>
          <w:rFonts w:eastAsia="Times New Roman" w:cs="Times New Roman"/>
          <w:b/>
          <w:lang w:eastAsia="cs-CZ"/>
        </w:rPr>
        <w:t xml:space="preserve"> Group</w:t>
      </w:r>
      <w:r w:rsidR="001F53DB">
        <w:rPr>
          <w:rFonts w:eastAsia="Times New Roman" w:cs="Times New Roman"/>
          <w:lang w:eastAsia="cs-CZ"/>
        </w:rPr>
        <w:t xml:space="preserve">. </w:t>
      </w:r>
    </w:p>
    <w:sectPr w:rsidR="00135A51" w:rsidRPr="001F53DB" w:rsidSect="001F53DB">
      <w:headerReference w:type="default" r:id="rId8"/>
      <w:footerReference w:type="default" r:id="rId9"/>
      <w:pgSz w:w="11906" w:h="16838"/>
      <w:pgMar w:top="2835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FAFA" w14:textId="77777777" w:rsidR="00651EF9" w:rsidRDefault="00651EF9" w:rsidP="00DE0114">
      <w:pPr>
        <w:spacing w:after="0" w:line="240" w:lineRule="auto"/>
      </w:pPr>
      <w:r>
        <w:separator/>
      </w:r>
    </w:p>
  </w:endnote>
  <w:endnote w:type="continuationSeparator" w:id="0">
    <w:p w14:paraId="53DC1226" w14:textId="77777777" w:rsidR="00651EF9" w:rsidRDefault="00651EF9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4B8C" w14:textId="77777777"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2FF48EC" wp14:editId="369D5BFA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65F1" w14:textId="77777777" w:rsidR="00651EF9" w:rsidRDefault="00651EF9" w:rsidP="00DE0114">
      <w:pPr>
        <w:spacing w:after="0" w:line="240" w:lineRule="auto"/>
      </w:pPr>
      <w:r>
        <w:separator/>
      </w:r>
    </w:p>
  </w:footnote>
  <w:footnote w:type="continuationSeparator" w:id="0">
    <w:p w14:paraId="74CD7281" w14:textId="77777777" w:rsidR="00651EF9" w:rsidRDefault="00651EF9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CED2" w14:textId="77777777"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62F1C05B" wp14:editId="6F6D3BC5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A5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AF72A" wp14:editId="7008F72C">
              <wp:simplePos x="0" y="0"/>
              <wp:positionH relativeFrom="column">
                <wp:posOffset>5008245</wp:posOffset>
              </wp:positionH>
              <wp:positionV relativeFrom="paragraph">
                <wp:posOffset>540385</wp:posOffset>
              </wp:positionV>
              <wp:extent cx="1257935" cy="41211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E6248" w14:textId="405EC028" w:rsidR="00DE0114" w:rsidRPr="00DE0114" w:rsidRDefault="001F53DB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="00C71143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6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4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AF7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" filled="f" stroked="f" strokeweight=".5pt">
              <v:textbox>
                <w:txbxContent>
                  <w:p w14:paraId="4DDE6248" w14:textId="405EC028" w:rsidR="00DE0114" w:rsidRPr="00DE0114" w:rsidRDefault="001F53DB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1</w:t>
                    </w:r>
                    <w:r w:rsidR="00C71143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6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4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14"/>
    <w:rsid w:val="00010A37"/>
    <w:rsid w:val="00020616"/>
    <w:rsid w:val="00055A4B"/>
    <w:rsid w:val="000E7CC8"/>
    <w:rsid w:val="000F06E5"/>
    <w:rsid w:val="001023AF"/>
    <w:rsid w:val="00135A51"/>
    <w:rsid w:val="00194B90"/>
    <w:rsid w:val="001B7969"/>
    <w:rsid w:val="001F53DB"/>
    <w:rsid w:val="00262A92"/>
    <w:rsid w:val="00293677"/>
    <w:rsid w:val="002C27E3"/>
    <w:rsid w:val="002F018D"/>
    <w:rsid w:val="002F4809"/>
    <w:rsid w:val="0034411E"/>
    <w:rsid w:val="003516FA"/>
    <w:rsid w:val="00371A09"/>
    <w:rsid w:val="00373530"/>
    <w:rsid w:val="003C319B"/>
    <w:rsid w:val="003D6C23"/>
    <w:rsid w:val="003F1D17"/>
    <w:rsid w:val="003F4479"/>
    <w:rsid w:val="00426F4F"/>
    <w:rsid w:val="00480701"/>
    <w:rsid w:val="00486253"/>
    <w:rsid w:val="00492DFD"/>
    <w:rsid w:val="00522C1C"/>
    <w:rsid w:val="005667F8"/>
    <w:rsid w:val="005E169B"/>
    <w:rsid w:val="005F38B6"/>
    <w:rsid w:val="006169BA"/>
    <w:rsid w:val="00630CB7"/>
    <w:rsid w:val="00631B92"/>
    <w:rsid w:val="00645DBE"/>
    <w:rsid w:val="00651EF9"/>
    <w:rsid w:val="00665BE4"/>
    <w:rsid w:val="007A3FBB"/>
    <w:rsid w:val="008657D4"/>
    <w:rsid w:val="00892E3B"/>
    <w:rsid w:val="008B64AE"/>
    <w:rsid w:val="008C2555"/>
    <w:rsid w:val="00923029"/>
    <w:rsid w:val="009E292B"/>
    <w:rsid w:val="009E5AA9"/>
    <w:rsid w:val="009F4D2A"/>
    <w:rsid w:val="00A075BA"/>
    <w:rsid w:val="00A25A9A"/>
    <w:rsid w:val="00A477DC"/>
    <w:rsid w:val="00AB4F26"/>
    <w:rsid w:val="00AD4644"/>
    <w:rsid w:val="00AD5793"/>
    <w:rsid w:val="00B613CF"/>
    <w:rsid w:val="00B971C5"/>
    <w:rsid w:val="00C263E3"/>
    <w:rsid w:val="00C3065F"/>
    <w:rsid w:val="00C71143"/>
    <w:rsid w:val="00C879FA"/>
    <w:rsid w:val="00C91EA0"/>
    <w:rsid w:val="00CA0E9B"/>
    <w:rsid w:val="00CE4B71"/>
    <w:rsid w:val="00CF2541"/>
    <w:rsid w:val="00D224D7"/>
    <w:rsid w:val="00D61391"/>
    <w:rsid w:val="00D70A1F"/>
    <w:rsid w:val="00DE0114"/>
    <w:rsid w:val="00DE485F"/>
    <w:rsid w:val="00DF1233"/>
    <w:rsid w:val="00E02386"/>
    <w:rsid w:val="00E24513"/>
    <w:rsid w:val="00F4718F"/>
    <w:rsid w:val="00F76659"/>
    <w:rsid w:val="00FB5571"/>
    <w:rsid w:val="00FD27F0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25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571"/>
    <w:rPr>
      <w:rFonts w:ascii="Segoe UI" w:hAnsi="Segoe UI" w:cs="Segoe UI"/>
      <w:sz w:val="18"/>
      <w:szCs w:val="18"/>
    </w:rPr>
  </w:style>
  <w:style w:type="character" w:customStyle="1" w:styleId="hili">
    <w:name w:val="hili"/>
    <w:basedOn w:val="Standardnpsmoodstavce"/>
    <w:rsid w:val="0049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2018-04-12T09:12:00Z</dcterms:created>
  <dcterms:modified xsi:type="dcterms:W3CDTF">2018-04-16T12:24:00Z</dcterms:modified>
</cp:coreProperties>
</file>