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62" w:rsidRPr="0097114D" w:rsidRDefault="00211762" w:rsidP="00211762">
      <w:pPr>
        <w:spacing w:after="0"/>
        <w:rPr>
          <w:b/>
          <w:color w:val="000000" w:themeColor="text1"/>
          <w:sz w:val="28"/>
          <w:szCs w:val="28"/>
        </w:rPr>
      </w:pPr>
      <w:r w:rsidRPr="0097114D">
        <w:rPr>
          <w:b/>
          <w:color w:val="000000" w:themeColor="text1"/>
          <w:sz w:val="28"/>
          <w:szCs w:val="28"/>
        </w:rPr>
        <w:t xml:space="preserve">Průzkum veřejného mínění: V Praze by se mělo více stavět, hlavně na </w:t>
      </w:r>
      <w:proofErr w:type="spellStart"/>
      <w:r w:rsidRPr="0097114D">
        <w:rPr>
          <w:b/>
          <w:color w:val="000000" w:themeColor="text1"/>
          <w:sz w:val="28"/>
          <w:szCs w:val="28"/>
        </w:rPr>
        <w:t>brownfieldech</w:t>
      </w:r>
      <w:proofErr w:type="spellEnd"/>
    </w:p>
    <w:p w:rsidR="00211762" w:rsidRPr="006A0311" w:rsidRDefault="00211762" w:rsidP="00211762">
      <w:pPr>
        <w:tabs>
          <w:tab w:val="left" w:pos="6000"/>
        </w:tabs>
        <w:spacing w:after="0"/>
        <w:rPr>
          <w:color w:val="000000" w:themeColor="text1"/>
        </w:rPr>
      </w:pPr>
      <w:r w:rsidRPr="006A0311">
        <w:rPr>
          <w:color w:val="000000" w:themeColor="text1"/>
        </w:rPr>
        <w:tab/>
      </w:r>
    </w:p>
    <w:p w:rsidR="00211762" w:rsidRPr="00336F21" w:rsidRDefault="00211762" w:rsidP="00211762">
      <w:pPr>
        <w:spacing w:after="0"/>
        <w:contextualSpacing/>
        <w:rPr>
          <w:rFonts w:cs="Arial"/>
          <w:b/>
          <w:lang w:eastAsia="cs-CZ"/>
        </w:rPr>
      </w:pPr>
      <w:r w:rsidRPr="006A0311">
        <w:rPr>
          <w:rFonts w:cs="Arial"/>
          <w:i/>
          <w:lang w:eastAsia="cs-CZ"/>
        </w:rPr>
        <w:t>Praha, 27. 2. 2018 –</w:t>
      </w:r>
      <w:r w:rsidRPr="006A0311">
        <w:rPr>
          <w:rFonts w:cs="Arial"/>
          <w:lang w:eastAsia="cs-CZ"/>
        </w:rPr>
        <w:t xml:space="preserve"> </w:t>
      </w:r>
      <w:r w:rsidRPr="006A0311">
        <w:rPr>
          <w:rFonts w:cs="Arial"/>
          <w:b/>
          <w:lang w:eastAsia="cs-CZ"/>
        </w:rPr>
        <w:t xml:space="preserve">V Praze by se mělo více stavět, myslí si </w:t>
      </w:r>
      <w:r>
        <w:rPr>
          <w:rFonts w:cs="Arial"/>
          <w:b/>
          <w:lang w:eastAsia="cs-CZ"/>
        </w:rPr>
        <w:t xml:space="preserve">téměř </w:t>
      </w:r>
      <w:r w:rsidRPr="006A0311">
        <w:rPr>
          <w:rFonts w:cs="Arial"/>
          <w:b/>
          <w:lang w:eastAsia="cs-CZ"/>
        </w:rPr>
        <w:t xml:space="preserve">60 procent lidí. Stejný počet by ale byl rád, kdyby hlavní město zůstalo takové, jak ho znají. Vyplývá to z průzkumu veřejného mínění, který zadalo Sdružení pro architekturu a rozvoj prostřednictvím agentury Ipsos. Lidé si tedy uvědomují, že ve městě by se měla dobudovat infrastruktura a stavět nové byty, zároveň se ale </w:t>
      </w:r>
      <w:r>
        <w:rPr>
          <w:rFonts w:cs="Arial"/>
          <w:b/>
          <w:lang w:eastAsia="cs-CZ"/>
        </w:rPr>
        <w:t>obávají</w:t>
      </w:r>
      <w:r w:rsidRPr="006A0311">
        <w:rPr>
          <w:rFonts w:cs="Arial"/>
          <w:b/>
          <w:lang w:eastAsia="cs-CZ"/>
        </w:rPr>
        <w:t xml:space="preserve"> změn</w:t>
      </w:r>
      <w:r w:rsidRPr="00336F21">
        <w:rPr>
          <w:rFonts w:cs="Arial"/>
          <w:b/>
          <w:lang w:eastAsia="cs-CZ"/>
        </w:rPr>
        <w:t xml:space="preserve">. Pražanům chybí hlavně klíčové dopravní stavby, díky jejichž absenci se kvalita života ve městě rapidně zhoršuje. Intenzivnější by také měla být podle průzkumu výstavba nových bytů. </w:t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Default="00211762" w:rsidP="00211762">
      <w:pPr>
        <w:spacing w:after="0"/>
        <w:contextualSpacing/>
        <w:rPr>
          <w:rFonts w:cs="Arial"/>
          <w:lang w:eastAsia="cs-CZ"/>
        </w:rPr>
      </w:pPr>
      <w:r w:rsidRPr="006A0311">
        <w:rPr>
          <w:rFonts w:cs="Arial"/>
          <w:lang w:eastAsia="cs-CZ"/>
        </w:rPr>
        <w:t>Více stavět by se v hlavním městě mělo podle 59 procent dotázaných. Přitom 29,3 procenta rozhodně souhlasí s tím, že by se mělo stavět víc, a dalších 29,7 procenta s tím souhlasí spíše. Naopak rozhodně nesouhlasí 11 procent respondentů. Lidé by uvítali především novou dopravní a technickou infrastrukturu a další občanskou vybavenost typu školských, zdravotnických a kulturních zařízení.</w:t>
      </w:r>
      <w:r>
        <w:rPr>
          <w:rFonts w:cs="Arial"/>
          <w:lang w:eastAsia="cs-CZ"/>
        </w:rPr>
        <w:t xml:space="preserve"> </w:t>
      </w:r>
      <w:r w:rsidRPr="000F437E">
        <w:rPr>
          <w:rFonts w:cs="Arial"/>
          <w:i/>
          <w:lang w:eastAsia="cs-CZ"/>
        </w:rPr>
        <w:t>„Fakt, že se nadpoloviční většina dotázaných Pražanů vyslovila pro intenz</w:t>
      </w:r>
      <w:r>
        <w:rPr>
          <w:rFonts w:cs="Arial"/>
          <w:i/>
          <w:lang w:eastAsia="cs-CZ"/>
        </w:rPr>
        <w:t>i</w:t>
      </w:r>
      <w:r w:rsidRPr="000F437E">
        <w:rPr>
          <w:rFonts w:cs="Arial"/>
          <w:i/>
          <w:lang w:eastAsia="cs-CZ"/>
        </w:rPr>
        <w:t>vnější výstavbu ve městě, mě osobně velmi překvapil. Je zřejmé, že občané si myslí něco jiného, než nám prezentuje hrstka ukřičených aktivistů a bohužel často i média,“</w:t>
      </w:r>
      <w:r>
        <w:rPr>
          <w:rFonts w:cs="Arial"/>
          <w:lang w:eastAsia="cs-CZ"/>
        </w:rPr>
        <w:t xml:space="preserve"> shrnul výsledky průzkumu architekt a člen Sdružení pro architekturu a rozvoj Josef Pleskot.</w:t>
      </w:r>
    </w:p>
    <w:p w:rsidR="00211762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Default="00211762" w:rsidP="00211762">
      <w:pPr>
        <w:spacing w:after="0"/>
        <w:contextualSpacing/>
        <w:jc w:val="center"/>
        <w:rPr>
          <w:rFonts w:cs="Arial"/>
          <w:lang w:eastAsia="cs-CZ"/>
        </w:rPr>
      </w:pPr>
      <w:r w:rsidRPr="00F80984">
        <w:rPr>
          <w:rFonts w:cs="Arial"/>
          <w:noProof/>
          <w:lang w:eastAsia="cs-CZ"/>
        </w:rPr>
        <w:drawing>
          <wp:inline distT="0" distB="0" distL="0" distR="0" wp14:anchorId="0FFD6B2C" wp14:editId="080532B5">
            <wp:extent cx="5400675" cy="29241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762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Default="00211762" w:rsidP="00211762">
      <w:pPr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 xml:space="preserve">Na druhou stranu se ale respondenti zároveň obávají, aby </w:t>
      </w:r>
      <w:r w:rsidRPr="006A0311">
        <w:rPr>
          <w:rFonts w:cs="Arial"/>
          <w:lang w:eastAsia="cs-CZ"/>
        </w:rPr>
        <w:t xml:space="preserve">se Praha novou výstavbou </w:t>
      </w:r>
      <w:r>
        <w:rPr>
          <w:rFonts w:cs="Arial"/>
          <w:lang w:eastAsia="cs-CZ"/>
        </w:rPr>
        <w:t>nez</w:t>
      </w:r>
      <w:r w:rsidRPr="006A0311">
        <w:rPr>
          <w:rFonts w:cs="Arial"/>
          <w:lang w:eastAsia="cs-CZ"/>
        </w:rPr>
        <w:t>měni</w:t>
      </w:r>
      <w:r>
        <w:rPr>
          <w:rFonts w:cs="Arial"/>
          <w:lang w:eastAsia="cs-CZ"/>
        </w:rPr>
        <w:t>la</w:t>
      </w:r>
      <w:r w:rsidRPr="006A0311">
        <w:rPr>
          <w:rFonts w:cs="Arial"/>
          <w:lang w:eastAsia="cs-CZ"/>
        </w:rPr>
        <w:t xml:space="preserve">. Pouze </w:t>
      </w:r>
      <w:r>
        <w:rPr>
          <w:rFonts w:cs="Arial"/>
          <w:lang w:eastAsia="cs-CZ"/>
        </w:rPr>
        <w:t>třetina</w:t>
      </w:r>
      <w:r w:rsidRPr="006A0311">
        <w:rPr>
          <w:rFonts w:cs="Arial"/>
          <w:lang w:eastAsia="cs-CZ"/>
        </w:rPr>
        <w:t xml:space="preserve"> dotázaných si tedy uvědomuje, že město je živý organismus, který se musí výstavbou měnit</w:t>
      </w:r>
      <w:r w:rsidRPr="006A0311">
        <w:rPr>
          <w:rFonts w:cs="Arial"/>
          <w:i/>
          <w:lang w:eastAsia="cs-CZ"/>
        </w:rPr>
        <w:t>. „</w:t>
      </w:r>
      <w:r>
        <w:rPr>
          <w:i/>
        </w:rPr>
        <w:t xml:space="preserve">Je vidět, že Pražanům není jasná vize budoucího rozvoje města. Je potřeba více vysvětlovat, jak mohou nové projekty vylepšit prostředí, ve kterém žijí a jasně ukázat, že bez rozvoje nebude </w:t>
      </w:r>
      <w:r>
        <w:rPr>
          <w:i/>
        </w:rPr>
        <w:lastRenderedPageBreak/>
        <w:t>možné udržet pozici Prahy v konkurenci ostatních měst,”</w:t>
      </w:r>
      <w:r>
        <w:t xml:space="preserve"> </w:t>
      </w:r>
      <w:r w:rsidRPr="006A0311">
        <w:rPr>
          <w:rFonts w:cs="Arial"/>
          <w:lang w:eastAsia="cs-CZ"/>
        </w:rPr>
        <w:t>ř</w:t>
      </w:r>
      <w:r>
        <w:rPr>
          <w:rFonts w:cs="Arial"/>
          <w:lang w:eastAsia="cs-CZ"/>
        </w:rPr>
        <w:t>ekl</w:t>
      </w:r>
      <w:r w:rsidRPr="006A0311">
        <w:rPr>
          <w:rFonts w:cs="Arial"/>
          <w:lang w:eastAsia="cs-CZ"/>
        </w:rPr>
        <w:t xml:space="preserve"> člen sdružení </w:t>
      </w:r>
      <w:r>
        <w:rPr>
          <w:rFonts w:cs="Arial"/>
          <w:lang w:eastAsia="cs-CZ"/>
        </w:rPr>
        <w:t xml:space="preserve">a partner nadnárodní poradenské společnosti KPMG </w:t>
      </w:r>
      <w:r w:rsidRPr="006A0311">
        <w:rPr>
          <w:rFonts w:cs="Arial"/>
          <w:lang w:eastAsia="cs-CZ"/>
        </w:rPr>
        <w:t xml:space="preserve">Pavel Kliment. </w:t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Pr="006A0311" w:rsidRDefault="00211762" w:rsidP="00211762">
      <w:pPr>
        <w:spacing w:after="0"/>
        <w:contextualSpacing/>
        <w:rPr>
          <w:rFonts w:cs="Arial"/>
          <w:b/>
          <w:lang w:eastAsia="cs-CZ"/>
        </w:rPr>
      </w:pPr>
      <w:r w:rsidRPr="006A0311">
        <w:rPr>
          <w:rFonts w:cs="Arial"/>
          <w:b/>
          <w:lang w:eastAsia="cs-CZ"/>
        </w:rPr>
        <w:t>Kde se m</w:t>
      </w:r>
      <w:r>
        <w:rPr>
          <w:rFonts w:cs="Arial"/>
          <w:b/>
          <w:lang w:eastAsia="cs-CZ"/>
        </w:rPr>
        <w:t>á</w:t>
      </w:r>
      <w:r w:rsidRPr="006A0311">
        <w:rPr>
          <w:rFonts w:cs="Arial"/>
          <w:b/>
          <w:lang w:eastAsia="cs-CZ"/>
        </w:rPr>
        <w:t xml:space="preserve"> stavět</w:t>
      </w:r>
      <w:r>
        <w:rPr>
          <w:rFonts w:cs="Arial"/>
          <w:b/>
          <w:lang w:eastAsia="cs-CZ"/>
        </w:rPr>
        <w:t>?</w:t>
      </w:r>
    </w:p>
    <w:p w:rsidR="00211762" w:rsidRDefault="00211762" w:rsidP="00211762">
      <w:pPr>
        <w:spacing w:after="0"/>
        <w:contextualSpacing/>
      </w:pPr>
      <w:r w:rsidRPr="006A0311">
        <w:rPr>
          <w:rFonts w:cs="Arial"/>
          <w:lang w:eastAsia="cs-CZ"/>
        </w:rPr>
        <w:t xml:space="preserve">Stavět by se mělo podle názoru </w:t>
      </w:r>
      <w:r>
        <w:rPr>
          <w:rFonts w:cs="Arial"/>
          <w:lang w:eastAsia="cs-CZ"/>
        </w:rPr>
        <w:t>Pražanů</w:t>
      </w:r>
      <w:r w:rsidRPr="006A0311">
        <w:rPr>
          <w:rFonts w:cs="Arial"/>
          <w:lang w:eastAsia="cs-CZ"/>
        </w:rPr>
        <w:t xml:space="preserve"> především v širším centru na </w:t>
      </w:r>
      <w:proofErr w:type="spellStart"/>
      <w:r w:rsidRPr="006A0311">
        <w:rPr>
          <w:rFonts w:cs="Arial"/>
          <w:lang w:eastAsia="cs-CZ"/>
        </w:rPr>
        <w:t>brownfieldech</w:t>
      </w:r>
      <w:proofErr w:type="spellEnd"/>
      <w:r w:rsidRPr="006A0311">
        <w:rPr>
          <w:rFonts w:cs="Arial"/>
          <w:lang w:eastAsia="cs-CZ"/>
        </w:rPr>
        <w:t xml:space="preserve"> (51 procent) nebo na okrajích města (26,3 procenta). </w:t>
      </w:r>
      <w:r>
        <w:rPr>
          <w:rFonts w:cs="Arial"/>
          <w:lang w:eastAsia="cs-CZ"/>
        </w:rPr>
        <w:t>Přes</w:t>
      </w:r>
      <w:r w:rsidRPr="006A0311">
        <w:rPr>
          <w:rFonts w:cs="Arial"/>
          <w:lang w:eastAsia="cs-CZ"/>
        </w:rPr>
        <w:t xml:space="preserve"> 12 procent dotázaných si myslí, že se stavět nemá nikde, naopak osm procent, že se stavět má kdekoli</w:t>
      </w:r>
      <w:r w:rsidRPr="006A0311">
        <w:rPr>
          <w:rFonts w:cs="Arial"/>
          <w:i/>
          <w:lang w:eastAsia="cs-CZ"/>
        </w:rPr>
        <w:t>.</w:t>
      </w:r>
      <w:r>
        <w:rPr>
          <w:rFonts w:cs="Arial"/>
          <w:i/>
          <w:lang w:eastAsia="cs-CZ"/>
        </w:rPr>
        <w:t xml:space="preserve"> </w:t>
      </w:r>
      <w:r w:rsidRPr="006A0311">
        <w:rPr>
          <w:rFonts w:cs="Arial"/>
          <w:lang w:eastAsia="cs-CZ"/>
        </w:rPr>
        <w:t xml:space="preserve">Jen rozloha nevyužívaných pozemků uvnitř města dosahuje téměř tisíc hektarů. </w:t>
      </w:r>
      <w:proofErr w:type="spellStart"/>
      <w:r w:rsidRPr="006A0311">
        <w:rPr>
          <w:rFonts w:cs="Arial"/>
          <w:lang w:eastAsia="cs-CZ"/>
        </w:rPr>
        <w:t>Brownfiledy</w:t>
      </w:r>
      <w:proofErr w:type="spellEnd"/>
      <w:r w:rsidRPr="006A0311">
        <w:rPr>
          <w:rFonts w:cs="Arial"/>
          <w:lang w:eastAsia="cs-CZ"/>
        </w:rPr>
        <w:t xml:space="preserve"> jsou zároveň příležitostí, jak zahustit Prahu</w:t>
      </w:r>
      <w:r>
        <w:rPr>
          <w:rFonts w:cs="Arial"/>
          <w:lang w:eastAsia="cs-CZ"/>
        </w:rPr>
        <w:t xml:space="preserve">, která je </w:t>
      </w:r>
      <w:r w:rsidRPr="006A0311">
        <w:t>podle dat IPR velmi „řídkým“ městem. Má hustotu 25 obyvatel na hektar, Vídeň 41</w:t>
      </w:r>
      <w:r>
        <w:t xml:space="preserve">, Mnichov 44 </w:t>
      </w:r>
      <w:r w:rsidRPr="006A0311">
        <w:t xml:space="preserve">a Milán dokonce 73. </w:t>
      </w:r>
      <w:r>
        <w:t xml:space="preserve">Vyšší hustota výstavby totiž jednoznačně přináší efektivnější veřejnou dopravu a vyšší kvalitu služeb. Trendem současnosti je město krátkých vzdáleností. </w:t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Default="00211762" w:rsidP="00211762">
      <w:pPr>
        <w:spacing w:after="0"/>
        <w:contextualSpacing/>
        <w:jc w:val="center"/>
        <w:rPr>
          <w:rFonts w:cs="Arial"/>
          <w:b/>
          <w:lang w:eastAsia="cs-CZ"/>
        </w:rPr>
      </w:pPr>
      <w:r w:rsidRPr="00F80984">
        <w:rPr>
          <w:rFonts w:cs="Arial"/>
          <w:b/>
          <w:noProof/>
          <w:lang w:eastAsia="cs-CZ"/>
        </w:rPr>
        <w:drawing>
          <wp:inline distT="0" distB="0" distL="0" distR="0" wp14:anchorId="4A76F450" wp14:editId="5087817F">
            <wp:extent cx="5483225" cy="3133725"/>
            <wp:effectExtent l="0" t="0" r="317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762" w:rsidRDefault="00211762" w:rsidP="00211762">
      <w:pPr>
        <w:spacing w:after="0"/>
        <w:contextualSpacing/>
        <w:rPr>
          <w:rFonts w:cs="Arial"/>
          <w:b/>
          <w:lang w:eastAsia="cs-CZ"/>
        </w:rPr>
      </w:pPr>
    </w:p>
    <w:p w:rsidR="00211762" w:rsidRPr="006A0311" w:rsidRDefault="00211762" w:rsidP="00211762">
      <w:pPr>
        <w:spacing w:after="0"/>
        <w:contextualSpacing/>
        <w:rPr>
          <w:rFonts w:cs="Arial"/>
          <w:b/>
          <w:lang w:eastAsia="cs-CZ"/>
        </w:rPr>
      </w:pPr>
      <w:r w:rsidRPr="006A0311">
        <w:rPr>
          <w:rFonts w:cs="Arial"/>
          <w:b/>
          <w:lang w:eastAsia="cs-CZ"/>
        </w:rPr>
        <w:t>Nejvíce lidi tíží nedostatečná dopravní infrastruktura</w:t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  <w:r w:rsidRPr="006A0311">
        <w:rPr>
          <w:rFonts w:cs="Arial"/>
          <w:lang w:eastAsia="cs-CZ"/>
        </w:rPr>
        <w:t>Po intenzivní výstavbě dopravní infrastruktury volá naprostá většina dotázaných (88,6 procenta). Bez dořešení klíčových staveb</w:t>
      </w:r>
      <w:r>
        <w:rPr>
          <w:rFonts w:cs="Arial"/>
          <w:lang w:eastAsia="cs-CZ"/>
        </w:rPr>
        <w:t>,</w:t>
      </w:r>
      <w:r w:rsidRPr="006A0311">
        <w:rPr>
          <w:rFonts w:cs="Arial"/>
          <w:lang w:eastAsia="cs-CZ"/>
        </w:rPr>
        <w:t xml:space="preserve"> jako je vnější a vnitřní okruh Prahy, rychlá kolejová doprava na letiště nebo pokračování metra, se totiž podle 82,7 procenta Pražanů život ve městě zhoršuje. </w:t>
      </w:r>
      <w:r>
        <w:rPr>
          <w:rFonts w:cs="Arial"/>
          <w:i/>
          <w:lang w:eastAsia="cs-CZ"/>
        </w:rPr>
        <w:t>„</w:t>
      </w:r>
      <w:r>
        <w:rPr>
          <w:i/>
        </w:rPr>
        <w:t xml:space="preserve">Stačí se podívat na jakoukoli silnici v Praze, jak je rozbitá, na ty ohromné nezastavěné </w:t>
      </w:r>
      <w:proofErr w:type="spellStart"/>
      <w:r>
        <w:rPr>
          <w:i/>
        </w:rPr>
        <w:t>brownfieldy</w:t>
      </w:r>
      <w:proofErr w:type="spellEnd"/>
      <w:r>
        <w:rPr>
          <w:i/>
        </w:rPr>
        <w:t xml:space="preserve"> v jádru města, které nefungují. Praha za celou jednu generaci udělala jen velmi málo pro svůj rozvoj i pro prostou obnovu,</w:t>
      </w:r>
      <w:r>
        <w:rPr>
          <w:rFonts w:cs="Arial"/>
          <w:i/>
          <w:lang w:eastAsia="cs-CZ"/>
        </w:rPr>
        <w:t xml:space="preserve">“ </w:t>
      </w:r>
      <w:r w:rsidRPr="006A0311">
        <w:rPr>
          <w:rFonts w:cs="Arial"/>
          <w:lang w:eastAsia="cs-CZ"/>
        </w:rPr>
        <w:t>podot</w:t>
      </w:r>
      <w:r>
        <w:rPr>
          <w:rFonts w:cs="Arial"/>
          <w:lang w:eastAsia="cs-CZ"/>
        </w:rPr>
        <w:t>kl projektant</w:t>
      </w:r>
      <w:r w:rsidRPr="006A0311">
        <w:rPr>
          <w:rFonts w:cs="Arial"/>
          <w:lang w:eastAsia="cs-CZ"/>
        </w:rPr>
        <w:t xml:space="preserve"> Pavel Štěpán. </w:t>
      </w:r>
    </w:p>
    <w:p w:rsidR="00211762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Pr="006A0311" w:rsidRDefault="00211762" w:rsidP="00211762">
      <w:pPr>
        <w:spacing w:after="0"/>
        <w:contextualSpacing/>
        <w:rPr>
          <w:rFonts w:cs="Arial"/>
          <w:b/>
          <w:lang w:eastAsia="cs-CZ"/>
        </w:rPr>
      </w:pPr>
      <w:r w:rsidRPr="006A0311">
        <w:rPr>
          <w:rFonts w:cs="Arial"/>
          <w:b/>
          <w:lang w:eastAsia="cs-CZ"/>
        </w:rPr>
        <w:t>Snižování dostupnosti vlastního bydlení je velký problém</w:t>
      </w:r>
    </w:p>
    <w:p w:rsidR="00211762" w:rsidRDefault="00211762" w:rsidP="00211762">
      <w:pPr>
        <w:spacing w:after="0"/>
        <w:contextualSpacing/>
        <w:rPr>
          <w:rFonts w:cs="Arial"/>
          <w:lang w:eastAsia="cs-CZ"/>
        </w:rPr>
      </w:pPr>
      <w:r w:rsidRPr="006A0311">
        <w:rPr>
          <w:rFonts w:cs="Arial"/>
          <w:i/>
          <w:lang w:eastAsia="cs-CZ"/>
        </w:rPr>
        <w:t xml:space="preserve">„Dostupnost bydlení se v Praze v posledních letech výrazně zhoršila a ve srovnání s okolními metropolemi je na tom Praha nejhůře. Průměrný Pražan na průměrný byt musí dát </w:t>
      </w:r>
      <w:r>
        <w:rPr>
          <w:rFonts w:cs="Arial"/>
          <w:i/>
          <w:lang w:eastAsia="cs-CZ"/>
        </w:rPr>
        <w:t xml:space="preserve">veškeré své </w:t>
      </w:r>
      <w:r w:rsidRPr="006A0311">
        <w:rPr>
          <w:rFonts w:cs="Arial"/>
          <w:i/>
          <w:lang w:eastAsia="cs-CZ"/>
        </w:rPr>
        <w:t xml:space="preserve">hrubé </w:t>
      </w:r>
      <w:r w:rsidRPr="006A0311">
        <w:rPr>
          <w:rFonts w:cs="Arial"/>
          <w:i/>
          <w:lang w:eastAsia="cs-CZ"/>
        </w:rPr>
        <w:lastRenderedPageBreak/>
        <w:t xml:space="preserve">příjmy za </w:t>
      </w:r>
      <w:r>
        <w:rPr>
          <w:rFonts w:cs="Arial"/>
          <w:i/>
          <w:lang w:eastAsia="cs-CZ"/>
        </w:rPr>
        <w:t xml:space="preserve">více než </w:t>
      </w:r>
      <w:r w:rsidRPr="006A0311">
        <w:rPr>
          <w:rFonts w:cs="Arial"/>
          <w:i/>
          <w:lang w:eastAsia="cs-CZ"/>
        </w:rPr>
        <w:t>12</w:t>
      </w:r>
      <w:r>
        <w:rPr>
          <w:rFonts w:cs="Arial"/>
          <w:i/>
          <w:lang w:eastAsia="cs-CZ"/>
        </w:rPr>
        <w:t xml:space="preserve"> let</w:t>
      </w:r>
      <w:r w:rsidRPr="006A0311">
        <w:rPr>
          <w:rFonts w:cs="Arial"/>
          <w:i/>
          <w:lang w:eastAsia="cs-CZ"/>
        </w:rPr>
        <w:t>,“</w:t>
      </w:r>
      <w:r>
        <w:rPr>
          <w:rFonts w:cs="Arial"/>
          <w:lang w:eastAsia="cs-CZ"/>
        </w:rPr>
        <w:t xml:space="preserve"> </w:t>
      </w:r>
      <w:r w:rsidRPr="006A0311">
        <w:rPr>
          <w:rFonts w:cs="Arial"/>
          <w:lang w:eastAsia="cs-CZ"/>
        </w:rPr>
        <w:t xml:space="preserve">řekl největší rezidenční stavitel v zemi a člen Sdružení pro architekturu a rozvoj Dušan Kunovský. Lidé si to uvědomují a snižování dostupnosti vlastního bydlení považuje za velký problém 83,6 procenta </w:t>
      </w:r>
      <w:r>
        <w:rPr>
          <w:rFonts w:cs="Arial"/>
          <w:lang w:eastAsia="cs-CZ"/>
        </w:rPr>
        <w:t>z nich</w:t>
      </w:r>
      <w:r w:rsidRPr="006A0311">
        <w:rPr>
          <w:rFonts w:cs="Arial"/>
          <w:lang w:eastAsia="cs-CZ"/>
        </w:rPr>
        <w:t xml:space="preserve">. Rostoucí ceny bytů rozhodně vadí 61,7 procenta Pražanů a spíše vadí dalším 23 procentům. </w:t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Default="00211762" w:rsidP="00211762">
      <w:pPr>
        <w:spacing w:after="0"/>
        <w:contextualSpacing/>
        <w:rPr>
          <w:rFonts w:cs="Arial"/>
          <w:lang w:eastAsia="cs-CZ"/>
        </w:rPr>
      </w:pPr>
      <w:r w:rsidRPr="00F80984">
        <w:rPr>
          <w:rFonts w:cs="Arial"/>
          <w:noProof/>
          <w:lang w:eastAsia="cs-CZ"/>
        </w:rPr>
        <w:drawing>
          <wp:inline distT="0" distB="0" distL="0" distR="0" wp14:anchorId="797FB635" wp14:editId="337DFDA0">
            <wp:extent cx="5514975" cy="317182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Pr="006A0311" w:rsidRDefault="00211762" w:rsidP="00211762">
      <w:pPr>
        <w:spacing w:after="0"/>
        <w:contextualSpacing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Nové moderní stavby v Praze</w:t>
      </w:r>
      <w:r w:rsidRPr="006A0311">
        <w:rPr>
          <w:rFonts w:cs="Arial"/>
          <w:b/>
          <w:lang w:eastAsia="cs-CZ"/>
        </w:rPr>
        <w:t>? Proč ne!</w:t>
      </w:r>
    </w:p>
    <w:p w:rsidR="00211762" w:rsidRDefault="00211762" w:rsidP="00211762">
      <w:pPr>
        <w:spacing w:after="0"/>
        <w:contextualSpacing/>
      </w:pPr>
      <w:r w:rsidRPr="006A0311">
        <w:rPr>
          <w:rFonts w:cs="Arial"/>
          <w:lang w:eastAsia="cs-CZ"/>
        </w:rPr>
        <w:t xml:space="preserve">Téměř 40 procent Pražanů postrádá také architektonicky unikátní stavby od špičkových architektů. Ve městě ale za poledních deset let </w:t>
      </w:r>
      <w:r>
        <w:rPr>
          <w:rFonts w:cs="Arial"/>
          <w:lang w:eastAsia="cs-CZ"/>
        </w:rPr>
        <w:t>nevznikla</w:t>
      </w:r>
      <w:r w:rsidRPr="006A0311">
        <w:rPr>
          <w:rFonts w:cs="Arial"/>
          <w:lang w:eastAsia="cs-CZ"/>
        </w:rPr>
        <w:t xml:space="preserve"> žádná významná veřejná budova</w:t>
      </w:r>
      <w:r>
        <w:rPr>
          <w:rFonts w:cs="Arial"/>
          <w:lang w:eastAsia="cs-CZ"/>
        </w:rPr>
        <w:t xml:space="preserve">. Ty přitom </w:t>
      </w:r>
      <w:r w:rsidRPr="006A0311">
        <w:rPr>
          <w:rFonts w:cs="Arial"/>
          <w:lang w:eastAsia="cs-CZ"/>
        </w:rPr>
        <w:t xml:space="preserve">bývají v zahraničí </w:t>
      </w:r>
      <w:r>
        <w:rPr>
          <w:rFonts w:cs="Arial"/>
          <w:lang w:eastAsia="cs-CZ"/>
        </w:rPr>
        <w:t xml:space="preserve">obvykle považovány právě za takové </w:t>
      </w:r>
      <w:r w:rsidRPr="006A0311">
        <w:rPr>
          <w:rFonts w:cs="Arial"/>
          <w:lang w:eastAsia="cs-CZ"/>
        </w:rPr>
        <w:t>ikon</w:t>
      </w:r>
      <w:r>
        <w:rPr>
          <w:rFonts w:cs="Arial"/>
          <w:lang w:eastAsia="cs-CZ"/>
        </w:rPr>
        <w:t>y</w:t>
      </w:r>
      <w:r w:rsidRPr="006A0311">
        <w:rPr>
          <w:rFonts w:cs="Arial"/>
          <w:lang w:eastAsia="cs-CZ"/>
        </w:rPr>
        <w:t>. „</w:t>
      </w:r>
      <w:r w:rsidRPr="006A0311">
        <w:rPr>
          <w:rFonts w:cs="Arial"/>
          <w:i/>
          <w:lang w:eastAsia="cs-CZ"/>
        </w:rPr>
        <w:t>Myslím si, že by</w:t>
      </w:r>
      <w:r w:rsidRPr="006A0311">
        <w:rPr>
          <w:i/>
        </w:rPr>
        <w:t xml:space="preserve"> v občanech </w:t>
      </w:r>
      <w:r>
        <w:rPr>
          <w:i/>
        </w:rPr>
        <w:t xml:space="preserve">byla </w:t>
      </w:r>
      <w:r w:rsidRPr="006A0311">
        <w:rPr>
          <w:i/>
        </w:rPr>
        <w:t>probuzena radost, kdyby se bývala postavila Kaplického knihovna nebo třeba nová filharmonie. Kdyby se už konečně postavila nějaká trošku rozmařilejší stavba. A kdy jindy</w:t>
      </w:r>
      <w:r>
        <w:rPr>
          <w:i/>
        </w:rPr>
        <w:t>,</w:t>
      </w:r>
      <w:r w:rsidRPr="006A0311">
        <w:rPr>
          <w:i/>
        </w:rPr>
        <w:t xml:space="preserve"> když než teď? Daří se, jsou peníze, jak ale probudit tu radost z tvoření, jak probudit touhu budovat v celé společnosti?“</w:t>
      </w:r>
      <w:r w:rsidRPr="006A0311">
        <w:t xml:space="preserve"> ř</w:t>
      </w:r>
      <w:r>
        <w:t>ekl</w:t>
      </w:r>
      <w:r w:rsidRPr="006A0311">
        <w:t xml:space="preserve"> Josef Pleskot, architekt a člen SAR.</w:t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  <w:r w:rsidRPr="006A0311">
        <w:rPr>
          <w:rFonts w:cs="Arial"/>
          <w:lang w:eastAsia="cs-CZ"/>
        </w:rPr>
        <w:t>Z údajů Institutu plánování a rozvoje přitom vyplývá, že Praha je nejen řídké, ale i nízké město</w:t>
      </w:r>
      <w:r>
        <w:rPr>
          <w:rFonts w:cs="Arial"/>
          <w:lang w:eastAsia="cs-CZ"/>
        </w:rPr>
        <w:t>. Více než 56 procent domů v Praze má výšku menší než 10 metrů a jen 1,2 procenta je vyšší než 35 metrů.</w:t>
      </w:r>
      <w:r w:rsidRPr="006A0311">
        <w:rPr>
          <w:rFonts w:cs="Arial"/>
          <w:lang w:eastAsia="cs-CZ"/>
        </w:rPr>
        <w:t xml:space="preserve"> Pražané si přitom dovedou představit, že by město na některých místech vyrostlo do výšky. </w:t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</w:p>
    <w:p w:rsidR="00211762" w:rsidRPr="006A0311" w:rsidRDefault="00211762" w:rsidP="00211762">
      <w:pPr>
        <w:spacing w:after="0"/>
        <w:contextualSpacing/>
        <w:rPr>
          <w:rFonts w:cs="Arial"/>
          <w:b/>
          <w:lang w:eastAsia="cs-CZ"/>
        </w:rPr>
      </w:pPr>
      <w:r w:rsidRPr="006A0311">
        <w:rPr>
          <w:rFonts w:cs="Arial"/>
          <w:b/>
          <w:lang w:eastAsia="cs-CZ"/>
        </w:rPr>
        <w:t>Hlavně ne u mě na dvoře!</w:t>
      </w:r>
    </w:p>
    <w:p w:rsidR="00211762" w:rsidRPr="006A0311" w:rsidRDefault="00211762" w:rsidP="00211762">
      <w:pPr>
        <w:spacing w:after="0"/>
        <w:contextualSpacing/>
        <w:rPr>
          <w:rFonts w:cs="Arial"/>
          <w:lang w:eastAsia="cs-CZ"/>
        </w:rPr>
      </w:pPr>
      <w:r w:rsidRPr="006A0311">
        <w:rPr>
          <w:rFonts w:cs="Arial"/>
          <w:lang w:eastAsia="cs-CZ"/>
        </w:rPr>
        <w:t>Pražané sice nechtějí, aby rostly ceny nových bytů, a snižování dostupnosti vlastního bydlení považují za velký problém, více než polovině dotázaných by ale vadila výstavba rezidenčních budov v jejich sousedství. Více než 23 procent dotázaných by proti ní dokonce aktivně protestoval</w:t>
      </w:r>
      <w:r>
        <w:rPr>
          <w:rFonts w:cs="Arial"/>
          <w:lang w:eastAsia="cs-CZ"/>
        </w:rPr>
        <w:t>o</w:t>
      </w:r>
      <w:r w:rsidRPr="006A0311">
        <w:rPr>
          <w:rFonts w:cs="Arial"/>
          <w:lang w:eastAsia="cs-CZ"/>
        </w:rPr>
        <w:t>. Kdyby ovšem bytové domy rostly o dva kilometry dál, už by protestovalo „jen“ 12 procent dotázaných</w:t>
      </w:r>
      <w:r>
        <w:rPr>
          <w:rFonts w:cs="Arial"/>
          <w:lang w:eastAsia="cs-CZ"/>
        </w:rPr>
        <w:t>.</w:t>
      </w:r>
      <w:r w:rsidRPr="006A0311">
        <w:rPr>
          <w:rFonts w:cs="Arial"/>
          <w:lang w:eastAsia="cs-CZ"/>
        </w:rPr>
        <w:t xml:space="preserve"> </w:t>
      </w:r>
      <w:r>
        <w:rPr>
          <w:rFonts w:cs="Arial"/>
          <w:i/>
          <w:lang w:eastAsia="cs-CZ"/>
        </w:rPr>
        <w:t>„</w:t>
      </w:r>
      <w:r>
        <w:rPr>
          <w:i/>
        </w:rPr>
        <w:t xml:space="preserve">Lidé chtějí, </w:t>
      </w:r>
      <w:r>
        <w:rPr>
          <w:i/>
        </w:rPr>
        <w:lastRenderedPageBreak/>
        <w:t>aby se stavělo, ale ne v blízkosti jejich bydliště. Pak by ale k rozvoji města nemohlo nikdy dojít, protože rozvoj bude vždy z pohledu obyvatel dost blízko jejich domů</w:t>
      </w:r>
      <w:r>
        <w:rPr>
          <w:rFonts w:cs="Arial"/>
          <w:i/>
          <w:lang w:eastAsia="cs-CZ"/>
        </w:rPr>
        <w:t xml:space="preserve">. Postoj NIMBY (Not in My </w:t>
      </w:r>
      <w:proofErr w:type="spellStart"/>
      <w:r>
        <w:rPr>
          <w:rFonts w:cs="Arial"/>
          <w:i/>
          <w:lang w:eastAsia="cs-CZ"/>
        </w:rPr>
        <w:t>Back</w:t>
      </w:r>
      <w:proofErr w:type="spellEnd"/>
      <w:r>
        <w:rPr>
          <w:rFonts w:cs="Arial"/>
          <w:i/>
          <w:lang w:eastAsia="cs-CZ"/>
        </w:rPr>
        <w:t xml:space="preserve"> Yard) je celkem přirozený, mám ale pocit, že jen u nás na rozdíl od jiných zemí vede k tomu, že se ani při splnění všech zákonných podmínek nestaví,“</w:t>
      </w:r>
      <w:r>
        <w:rPr>
          <w:rFonts w:cs="Arial"/>
          <w:lang w:eastAsia="cs-CZ"/>
        </w:rPr>
        <w:t xml:space="preserve"> soudí</w:t>
      </w:r>
      <w:r w:rsidRPr="006A0311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R</w:t>
      </w:r>
      <w:r w:rsidRPr="006A0311">
        <w:rPr>
          <w:rFonts w:cs="Arial"/>
          <w:lang w:eastAsia="cs-CZ"/>
        </w:rPr>
        <w:t>en</w:t>
      </w:r>
      <w:r>
        <w:rPr>
          <w:rFonts w:cs="Arial"/>
          <w:lang w:eastAsia="cs-CZ"/>
        </w:rPr>
        <w:t>á</w:t>
      </w:r>
      <w:r w:rsidRPr="006A0311">
        <w:rPr>
          <w:rFonts w:cs="Arial"/>
          <w:lang w:eastAsia="cs-CZ"/>
        </w:rPr>
        <w:t xml:space="preserve">ta Pintová Králová, odbornice na stavební právo a členka SAR. </w:t>
      </w:r>
    </w:p>
    <w:p w:rsidR="00665BE4" w:rsidRPr="00211762" w:rsidRDefault="00665BE4" w:rsidP="00211762">
      <w:bookmarkStart w:id="0" w:name="_GoBack"/>
      <w:bookmarkEnd w:id="0"/>
    </w:p>
    <w:sectPr w:rsidR="00665BE4" w:rsidRPr="00211762" w:rsidSect="007A3FBB">
      <w:headerReference w:type="default" r:id="rId10"/>
      <w:footerReference w:type="default" r:id="rId11"/>
      <w:pgSz w:w="11906" w:h="16838"/>
      <w:pgMar w:top="3402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CF" w:rsidRDefault="00B613CF" w:rsidP="00DE0114">
      <w:pPr>
        <w:spacing w:after="0" w:line="240" w:lineRule="auto"/>
      </w:pPr>
      <w:r>
        <w:separator/>
      </w:r>
    </w:p>
  </w:endnote>
  <w:endnote w:type="continuationSeparator" w:id="0">
    <w:p w:rsidR="00B613CF" w:rsidRDefault="00B613CF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14" w:rsidRDefault="00426F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-302749</wp:posOffset>
          </wp:positionV>
          <wp:extent cx="7555865" cy="906576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CF" w:rsidRDefault="00B613CF" w:rsidP="00DE0114">
      <w:pPr>
        <w:spacing w:after="0" w:line="240" w:lineRule="auto"/>
      </w:pPr>
      <w:r>
        <w:separator/>
      </w:r>
    </w:p>
  </w:footnote>
  <w:footnote w:type="continuationSeparator" w:id="0">
    <w:p w:rsidR="00B613CF" w:rsidRDefault="00B613CF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FFD03" wp14:editId="201A2440">
              <wp:simplePos x="0" y="0"/>
              <wp:positionH relativeFrom="column">
                <wp:posOffset>5008245</wp:posOffset>
              </wp:positionH>
              <wp:positionV relativeFrom="paragraph">
                <wp:posOffset>540547</wp:posOffset>
              </wp:positionV>
              <wp:extent cx="1257935" cy="412115"/>
              <wp:effectExtent l="0" t="0" r="0" b="6985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114" w:rsidRPr="00DE0114" w:rsidRDefault="00DE0114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22. 2. 2018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" filled="f" stroked="f" strokeweight=".5pt">
              <v:textbox>
                <w:txbxContent>
                  <w:p w:rsidR="00DE0114" w:rsidRPr="00DE0114" w:rsidRDefault="00DE0114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22. 2. 2018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4"/>
    <w:rsid w:val="000F06E5"/>
    <w:rsid w:val="00211762"/>
    <w:rsid w:val="002F4809"/>
    <w:rsid w:val="003D6C23"/>
    <w:rsid w:val="00426F4F"/>
    <w:rsid w:val="00665BE4"/>
    <w:rsid w:val="007A3FBB"/>
    <w:rsid w:val="008657D4"/>
    <w:rsid w:val="00B613CF"/>
    <w:rsid w:val="00C91EA0"/>
    <w:rsid w:val="00D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cera2\Desktop\grafy%20cernobile%20marcela%20v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cera2\Desktop\grafy%20cernobile%20marcela%20v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cera2\Desktop\grafy%20cernobile%20marcela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dirty="0"/>
              <a:t>Mělo by se podle Vás v Praze více stavět?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262110754674182"/>
          <c:y val="0.15850932314242477"/>
          <c:w val="0.41540455591199249"/>
          <c:h val="0.76721297459967341"/>
        </c:manualLayout>
      </c:layout>
      <c:doughnutChart>
        <c:varyColors val="1"/>
        <c:ser>
          <c:idx val="0"/>
          <c:order val="0"/>
          <c:spPr>
            <a:ln>
              <a:solidFill>
                <a:schemeClr val="bg1">
                  <a:lumMod val="85000"/>
                  <a:alpha val="98000"/>
                </a:schemeClr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95-48A5-8CBC-4496826B439E}"/>
              </c:ext>
            </c:extLst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95-48A5-8CBC-4496826B439E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695-48A5-8CBC-4496826B439E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695-48A5-8CBC-4496826B439E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695-48A5-8CBC-4496826B439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305295950156525E-3"/>
                  <c:y val="-1.2087374947696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95-48A5-8CBC-4496826B43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List1!$B$2:$B$6</c:f>
              <c:strCache>
                <c:ptCount val="5"/>
                <c:pt idx="0">
                  <c:v>Rozhodně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Rozhodně ne</c:v>
                </c:pt>
                <c:pt idx="4">
                  <c:v>Nevím</c:v>
                </c:pt>
              </c:strCache>
            </c:strRef>
          </c:cat>
          <c:val>
            <c:numRef>
              <c:f>List1!$C$2:$C$6</c:f>
              <c:numCache>
                <c:formatCode>??.0" %"</c:formatCode>
                <c:ptCount val="5"/>
                <c:pt idx="0">
                  <c:v>29.333333333333002</c:v>
                </c:pt>
                <c:pt idx="1">
                  <c:v>29.714285714286</c:v>
                </c:pt>
                <c:pt idx="2">
                  <c:v>25.714285714286</c:v>
                </c:pt>
                <c:pt idx="3">
                  <c:v>11.047619047618999</c:v>
                </c:pt>
                <c:pt idx="4">
                  <c:v>4.1904761904761996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695-48A5-8CBC-4496826B4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2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942849736375549"/>
          <c:y val="0.34815221387228878"/>
          <c:w val="0.18564290574789263"/>
          <c:h val="0.392975454615404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dirty="0"/>
              <a:t>Kde by se podle Vás mělo v Praze stavět?</a:t>
            </a:r>
          </a:p>
        </c:rich>
      </c:tx>
      <c:layout>
        <c:manualLayout>
          <c:xMode val="edge"/>
          <c:yMode val="edge"/>
          <c:x val="0.24055405349953723"/>
          <c:y val="2.4051248913034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1293647830956079"/>
          <c:y val="0.14217028029089487"/>
          <c:w val="0.44944664031280346"/>
          <c:h val="0.77870511214507276"/>
        </c:manualLayout>
      </c:layout>
      <c:doughnutChart>
        <c:varyColors val="1"/>
        <c:ser>
          <c:idx val="0"/>
          <c:order val="0"/>
          <c:spPr>
            <a:ln>
              <a:solidFill>
                <a:schemeClr val="bg1">
                  <a:lumMod val="85000"/>
                  <a:alpha val="98000"/>
                </a:schemeClr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28-4103-A8F5-788241CB6AE4}"/>
              </c:ext>
            </c:extLst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28-4103-A8F5-788241CB6AE4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28-4103-A8F5-788241CB6AE4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28-4103-A8F5-788241CB6AE4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B28-4103-A8F5-788241CB6AE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461059190031114E-2"/>
                  <c:y val="-4.1072933493776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28-4103-A8F5-788241CB6A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List1!$B$13:$B$17</c:f>
              <c:strCache>
                <c:ptCount val="5"/>
                <c:pt idx="0">
                  <c:v>Kdekoliv je to možné</c:v>
                </c:pt>
                <c:pt idx="1">
                  <c:v>Výstavba by se měla zaměřit hlavně na okraje Prahy</c:v>
                </c:pt>
                <c:pt idx="2">
                  <c:v>Výstavba by se měla zaměřit hlavně na širší centrum města na brownfieldech</c:v>
                </c:pt>
                <c:pt idx="3">
                  <c:v>Nikde, další výstavba Prahy není potřeba</c:v>
                </c:pt>
                <c:pt idx="4">
                  <c:v>Nevím, nedokážu posoudit, je mi to jedno</c:v>
                </c:pt>
              </c:strCache>
            </c:strRef>
          </c:cat>
          <c:val>
            <c:numRef>
              <c:f>List1!$C$13:$C$17</c:f>
              <c:numCache>
                <c:formatCode>??.0" %"</c:formatCode>
                <c:ptCount val="5"/>
                <c:pt idx="0">
                  <c:v>8</c:v>
                </c:pt>
                <c:pt idx="1">
                  <c:v>26.285714285714</c:v>
                </c:pt>
                <c:pt idx="2">
                  <c:v>51.047619047619001</c:v>
                </c:pt>
                <c:pt idx="3">
                  <c:v>12.571428571428999</c:v>
                </c:pt>
                <c:pt idx="4">
                  <c:v>2.0952380952380998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B28-4103-A8F5-788241CB6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2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34054858349061E-2"/>
          <c:y val="0.28749467921094396"/>
          <c:w val="0.45077446631188745"/>
          <c:h val="0.411251146798139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 rtl="0">
            <a:defRPr lang="cs-CZ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/>
              <a:t>Snižování dostupnosti vlastního bydlení je pro lidi velký problém</a:t>
            </a:r>
          </a:p>
        </c:rich>
      </c:tx>
      <c:layout>
        <c:manualLayout>
          <c:xMode val="edge"/>
          <c:yMode val="edge"/>
          <c:x val="0.11630587627323787"/>
          <c:y val="2.05588265430785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6839786218432547E-2"/>
          <c:y val="0.22820552836300867"/>
          <c:w val="0.40139565455872422"/>
          <c:h val="0.69792217414264657"/>
        </c:manualLayout>
      </c:layout>
      <c:doughnutChart>
        <c:varyColors val="1"/>
        <c:ser>
          <c:idx val="0"/>
          <c:order val="0"/>
          <c:spPr>
            <a:ln>
              <a:solidFill>
                <a:schemeClr val="bg1">
                  <a:lumMod val="85000"/>
                  <a:alpha val="98000"/>
                </a:schemeClr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EF-48F3-A3CE-376E0D6CA47A}"/>
              </c:ext>
            </c:extLst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EF-48F3-A3CE-376E0D6CA47A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EF-48F3-A3CE-376E0D6CA47A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EF-48F3-A3CE-376E0D6CA47A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0">
                <a:solidFill>
                  <a:schemeClr val="bg1">
                    <a:lumMod val="85000"/>
                    <a:alpha val="98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EF-48F3-A3CE-376E0D6CA47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818415203570015E-2"/>
                  <c:y val="-3.6553410275770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EF-48F3-A3CE-376E0D6CA4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List1!$B$52:$B$56</c:f>
              <c:strCache>
                <c:ptCount val="5"/>
                <c:pt idx="0">
                  <c:v>Rozhodně souhlasím</c:v>
                </c:pt>
                <c:pt idx="1">
                  <c:v>Spíše souhlasím</c:v>
                </c:pt>
                <c:pt idx="2">
                  <c:v>Spíše nesouhlasím</c:v>
                </c:pt>
                <c:pt idx="3">
                  <c:v>Rozhodně nesouhlasím</c:v>
                </c:pt>
                <c:pt idx="4">
                  <c:v>Nevím</c:v>
                </c:pt>
              </c:strCache>
            </c:strRef>
          </c:cat>
          <c:val>
            <c:numRef>
              <c:f>List1!$C$52:$C$56</c:f>
              <c:numCache>
                <c:formatCode>??.0" %"</c:formatCode>
                <c:ptCount val="5"/>
                <c:pt idx="0">
                  <c:v>57.714285714286</c:v>
                </c:pt>
                <c:pt idx="1">
                  <c:v>25.904761904762001</c:v>
                </c:pt>
                <c:pt idx="2">
                  <c:v>10.666666666667</c:v>
                </c:pt>
                <c:pt idx="3">
                  <c:v>2.4761904761904998</c:v>
                </c:pt>
                <c:pt idx="4">
                  <c:v>3.2380952380951999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3EF-48F3-A3CE-376E0D6CA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2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273718375876593"/>
          <c:y val="0.39591906867497417"/>
          <c:w val="0.22687410187716173"/>
          <c:h val="0.37416629227652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jezdik</cp:lastModifiedBy>
  <cp:revision>2</cp:revision>
  <dcterms:created xsi:type="dcterms:W3CDTF">2018-02-27T12:40:00Z</dcterms:created>
  <dcterms:modified xsi:type="dcterms:W3CDTF">2018-02-27T12:40:00Z</dcterms:modified>
</cp:coreProperties>
</file>