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1211B2" w:rsidP="00401012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Dofinancování hypotéky stavebním </w:t>
      </w:r>
      <w:r w:rsidR="00CC3E0A">
        <w:rPr>
          <w:rFonts w:ascii="Arial Black" w:hAnsi="Arial Black"/>
          <w:color w:val="000000" w:themeColor="text1"/>
          <w:sz w:val="28"/>
          <w:szCs w:val="28"/>
        </w:rPr>
        <w:t xml:space="preserve">spořením </w:t>
      </w:r>
      <w:r>
        <w:rPr>
          <w:rFonts w:ascii="Arial Black" w:hAnsi="Arial Black"/>
          <w:color w:val="000000" w:themeColor="text1"/>
          <w:sz w:val="28"/>
          <w:szCs w:val="28"/>
        </w:rPr>
        <w:t>může citelně navýšit měsíční splátku úvěru</w:t>
      </w:r>
    </w:p>
    <w:p w:rsidR="006D26FA" w:rsidRPr="006D26FA" w:rsidRDefault="006D26FA" w:rsidP="00401012">
      <w:pPr>
        <w:spacing w:after="0"/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:rsidR="001D7DB4" w:rsidRDefault="002C4DCA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B4760A">
        <w:rPr>
          <w:rFonts w:ascii="Arial" w:hAnsi="Arial" w:cs="Arial"/>
          <w:i/>
          <w:lang w:eastAsia="cs-CZ"/>
        </w:rPr>
        <w:t>30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036C89">
        <w:rPr>
          <w:rFonts w:ascii="Arial" w:hAnsi="Arial" w:cs="Arial"/>
          <w:i/>
          <w:lang w:eastAsia="cs-CZ"/>
        </w:rPr>
        <w:t>3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E129D7">
        <w:rPr>
          <w:rFonts w:ascii="Arial" w:hAnsi="Arial" w:cs="Arial"/>
          <w:b/>
          <w:i/>
          <w:lang w:eastAsia="cs-CZ"/>
        </w:rPr>
        <w:t xml:space="preserve"> </w:t>
      </w:r>
      <w:r w:rsidR="001D7DB4" w:rsidRPr="001D7DB4">
        <w:rPr>
          <w:rFonts w:ascii="Arial" w:hAnsi="Arial" w:cs="Arial"/>
          <w:b/>
          <w:lang w:eastAsia="cs-CZ"/>
        </w:rPr>
        <w:t>Zatímco ještě dnes mohou banky poskytnout až 95</w:t>
      </w:r>
      <w:r w:rsidR="001D7DB4">
        <w:rPr>
          <w:rFonts w:ascii="Arial" w:hAnsi="Arial" w:cs="Arial"/>
          <w:b/>
          <w:lang w:eastAsia="cs-CZ"/>
        </w:rPr>
        <w:t xml:space="preserve">procentní </w:t>
      </w:r>
      <w:r w:rsidR="001D7DB4" w:rsidRPr="001D7DB4">
        <w:rPr>
          <w:rFonts w:ascii="Arial" w:hAnsi="Arial" w:cs="Arial"/>
          <w:b/>
          <w:lang w:eastAsia="cs-CZ"/>
        </w:rPr>
        <w:t>hypotéku</w:t>
      </w:r>
      <w:r w:rsidR="001D7DB4">
        <w:rPr>
          <w:rFonts w:ascii="Arial" w:hAnsi="Arial" w:cs="Arial"/>
          <w:b/>
          <w:lang w:eastAsia="cs-CZ"/>
        </w:rPr>
        <w:t xml:space="preserve">, od dubna </w:t>
      </w:r>
      <w:r w:rsidR="001D7DB4" w:rsidRPr="001D7DB4">
        <w:rPr>
          <w:rFonts w:ascii="Arial" w:hAnsi="Arial" w:cs="Arial"/>
          <w:b/>
          <w:lang w:eastAsia="cs-CZ"/>
        </w:rPr>
        <w:t xml:space="preserve">se </w:t>
      </w:r>
      <w:r w:rsidR="001D7DB4">
        <w:rPr>
          <w:rFonts w:ascii="Arial" w:hAnsi="Arial" w:cs="Arial"/>
          <w:b/>
          <w:lang w:eastAsia="cs-CZ"/>
        </w:rPr>
        <w:t>hranice sníží na 90 procent</w:t>
      </w:r>
      <w:r w:rsidR="001D7DB4" w:rsidRPr="001D7DB4">
        <w:rPr>
          <w:rFonts w:ascii="Arial" w:hAnsi="Arial" w:cs="Arial"/>
          <w:b/>
          <w:lang w:eastAsia="cs-CZ"/>
        </w:rPr>
        <w:t xml:space="preserve"> </w:t>
      </w:r>
      <w:r w:rsidR="001D7DB4">
        <w:rPr>
          <w:rFonts w:ascii="Arial" w:hAnsi="Arial" w:cs="Arial"/>
          <w:b/>
          <w:lang w:eastAsia="cs-CZ"/>
        </w:rPr>
        <w:t>a v rozmezí od 80 do 90 procent</w:t>
      </w:r>
      <w:r w:rsidR="001D7DB4" w:rsidRPr="001D7DB4">
        <w:rPr>
          <w:rFonts w:ascii="Arial" w:hAnsi="Arial" w:cs="Arial"/>
          <w:b/>
          <w:lang w:eastAsia="cs-CZ"/>
        </w:rPr>
        <w:t xml:space="preserve"> budou banky</w:t>
      </w:r>
      <w:r w:rsidR="001D7DB4">
        <w:rPr>
          <w:rFonts w:ascii="Arial" w:hAnsi="Arial" w:cs="Arial"/>
          <w:b/>
          <w:lang w:eastAsia="cs-CZ"/>
        </w:rPr>
        <w:t xml:space="preserve"> moci půjčit </w:t>
      </w:r>
      <w:r w:rsidR="004076A8">
        <w:rPr>
          <w:rFonts w:ascii="Arial" w:hAnsi="Arial" w:cs="Arial"/>
          <w:b/>
          <w:lang w:eastAsia="cs-CZ"/>
        </w:rPr>
        <w:t xml:space="preserve">jen </w:t>
      </w:r>
      <w:r w:rsidR="001D7DB4">
        <w:rPr>
          <w:rFonts w:ascii="Arial" w:hAnsi="Arial" w:cs="Arial"/>
          <w:b/>
          <w:lang w:eastAsia="cs-CZ"/>
        </w:rPr>
        <w:t>15 procent</w:t>
      </w:r>
      <w:r w:rsidR="001D7DB4" w:rsidRPr="001D7DB4">
        <w:rPr>
          <w:rFonts w:ascii="Arial" w:hAnsi="Arial" w:cs="Arial"/>
          <w:b/>
          <w:lang w:eastAsia="cs-CZ"/>
        </w:rPr>
        <w:t xml:space="preserve"> </w:t>
      </w:r>
      <w:r w:rsidR="001D7DB4">
        <w:rPr>
          <w:rFonts w:ascii="Arial" w:hAnsi="Arial" w:cs="Arial"/>
          <w:b/>
          <w:lang w:eastAsia="cs-CZ"/>
        </w:rPr>
        <w:t xml:space="preserve">všech </w:t>
      </w:r>
      <w:r w:rsidR="001D7DB4" w:rsidRPr="001D7DB4">
        <w:rPr>
          <w:rFonts w:ascii="Arial" w:hAnsi="Arial" w:cs="Arial"/>
          <w:b/>
          <w:lang w:eastAsia="cs-CZ"/>
        </w:rPr>
        <w:t xml:space="preserve">úvěrů. </w:t>
      </w:r>
      <w:r w:rsidR="001D7DB4">
        <w:rPr>
          <w:rFonts w:ascii="Arial" w:hAnsi="Arial" w:cs="Arial"/>
          <w:b/>
          <w:lang w:eastAsia="cs-CZ"/>
        </w:rPr>
        <w:t xml:space="preserve">Toto omezení přináší od 1. dubna </w:t>
      </w:r>
      <w:r w:rsidR="00036C89">
        <w:rPr>
          <w:rFonts w:ascii="Arial" w:hAnsi="Arial" w:cs="Arial"/>
          <w:b/>
          <w:lang w:eastAsia="cs-CZ"/>
        </w:rPr>
        <w:t xml:space="preserve">další sada </w:t>
      </w:r>
      <w:r w:rsidR="003E1AF9">
        <w:rPr>
          <w:rFonts w:ascii="Arial" w:hAnsi="Arial" w:cs="Arial"/>
          <w:b/>
          <w:lang w:eastAsia="cs-CZ"/>
        </w:rPr>
        <w:t>doporučení České národní banky</w:t>
      </w:r>
      <w:r w:rsidR="001D7DB4">
        <w:rPr>
          <w:rFonts w:ascii="Arial" w:hAnsi="Arial" w:cs="Arial"/>
          <w:b/>
          <w:lang w:eastAsia="cs-CZ"/>
        </w:rPr>
        <w:t>.</w:t>
      </w:r>
      <w:r w:rsidR="00B22CCD">
        <w:rPr>
          <w:rFonts w:ascii="Arial" w:hAnsi="Arial" w:cs="Arial"/>
          <w:b/>
          <w:lang w:eastAsia="cs-CZ"/>
        </w:rPr>
        <w:t xml:space="preserve"> Projeví se s největší pravděpodobností zvýšením sazeb vysokoprocentních hypoték, a to až o jeden procentní bod.</w:t>
      </w:r>
      <w:r w:rsidR="001D7DB4">
        <w:rPr>
          <w:rFonts w:ascii="Arial" w:hAnsi="Arial" w:cs="Arial"/>
          <w:b/>
          <w:lang w:eastAsia="cs-CZ"/>
        </w:rPr>
        <w:t xml:space="preserve"> </w:t>
      </w:r>
      <w:r w:rsidR="00B4760A">
        <w:rPr>
          <w:rFonts w:ascii="Arial" w:hAnsi="Arial" w:cs="Arial"/>
          <w:b/>
          <w:lang w:eastAsia="cs-CZ"/>
        </w:rPr>
        <w:t>Pro ty, kdo na 90procentní hypotéku nedosáhnout, bude zatím m</w:t>
      </w:r>
      <w:r w:rsidR="00B22CCD">
        <w:rPr>
          <w:rFonts w:ascii="Arial" w:hAnsi="Arial" w:cs="Arial"/>
          <w:b/>
          <w:lang w:eastAsia="cs-CZ"/>
        </w:rPr>
        <w:t xml:space="preserve">ožná také kombinace hypotéky a stavebního spoření, která ale také splátku proti současnému stavu prodraží. </w:t>
      </w:r>
      <w:proofErr w:type="spellStart"/>
      <w:r w:rsidR="00B22CCD">
        <w:rPr>
          <w:rFonts w:ascii="Arial" w:hAnsi="Arial" w:cs="Arial"/>
          <w:b/>
          <w:lang w:eastAsia="cs-CZ"/>
        </w:rPr>
        <w:t>Central</w:t>
      </w:r>
      <w:proofErr w:type="spellEnd"/>
      <w:r w:rsidR="00B22CCD">
        <w:rPr>
          <w:rFonts w:ascii="Arial" w:hAnsi="Arial" w:cs="Arial"/>
          <w:b/>
          <w:lang w:eastAsia="cs-CZ"/>
        </w:rPr>
        <w:t xml:space="preserve"> Group zatím zachová pro 90procentní hypotéky zvýhodněnou sazbu 1,89 procenta.</w:t>
      </w:r>
    </w:p>
    <w:p w:rsidR="00401012" w:rsidRDefault="00401012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401012" w:rsidRDefault="00036C89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některých případech i dnes lidé využívají pro </w:t>
      </w:r>
      <w:r w:rsidR="00401012">
        <w:rPr>
          <w:rFonts w:ascii="Arial" w:hAnsi="Arial" w:cs="Arial"/>
          <w:lang w:eastAsia="cs-CZ"/>
        </w:rPr>
        <w:t xml:space="preserve">získání </w:t>
      </w:r>
      <w:r w:rsidR="00B22CCD">
        <w:rPr>
          <w:rFonts w:ascii="Arial" w:hAnsi="Arial" w:cs="Arial"/>
          <w:lang w:eastAsia="cs-CZ"/>
        </w:rPr>
        <w:t xml:space="preserve">prostředků na pořízení </w:t>
      </w:r>
      <w:r w:rsidR="00401012" w:rsidRPr="0031135F">
        <w:rPr>
          <w:rFonts w:ascii="Arial" w:hAnsi="Arial" w:cs="Arial"/>
          <w:lang w:eastAsia="cs-CZ"/>
        </w:rPr>
        <w:t xml:space="preserve">nemovitosti </w:t>
      </w:r>
      <w:r w:rsidR="00401012">
        <w:rPr>
          <w:rFonts w:ascii="Arial" w:hAnsi="Arial" w:cs="Arial"/>
          <w:lang w:eastAsia="cs-CZ"/>
        </w:rPr>
        <w:t>kombinac</w:t>
      </w:r>
      <w:r>
        <w:rPr>
          <w:rFonts w:ascii="Arial" w:hAnsi="Arial" w:cs="Arial"/>
          <w:lang w:eastAsia="cs-CZ"/>
        </w:rPr>
        <w:t>i</w:t>
      </w:r>
      <w:r w:rsidR="00401012">
        <w:rPr>
          <w:rFonts w:ascii="Arial" w:hAnsi="Arial" w:cs="Arial"/>
          <w:lang w:eastAsia="cs-CZ"/>
        </w:rPr>
        <w:t xml:space="preserve"> hypotéky s úvěrem ze stavebního spoření. </w:t>
      </w:r>
      <w:r>
        <w:rPr>
          <w:rFonts w:ascii="Arial" w:hAnsi="Arial" w:cs="Arial"/>
          <w:lang w:eastAsia="cs-CZ"/>
        </w:rPr>
        <w:t>P</w:t>
      </w:r>
      <w:r w:rsidR="00401012">
        <w:rPr>
          <w:rFonts w:ascii="Arial" w:hAnsi="Arial" w:cs="Arial"/>
          <w:lang w:eastAsia="cs-CZ"/>
        </w:rPr>
        <w:t xml:space="preserve">o zpřísnění pravidel ČNB </w:t>
      </w:r>
      <w:r>
        <w:rPr>
          <w:rFonts w:ascii="Arial" w:hAnsi="Arial" w:cs="Arial"/>
          <w:lang w:eastAsia="cs-CZ"/>
        </w:rPr>
        <w:t xml:space="preserve">lze očekávat </w:t>
      </w:r>
      <w:r w:rsidR="00401012" w:rsidRPr="0031135F">
        <w:rPr>
          <w:rFonts w:ascii="Arial" w:hAnsi="Arial" w:cs="Arial"/>
          <w:lang w:eastAsia="cs-CZ"/>
        </w:rPr>
        <w:t xml:space="preserve">nárůst </w:t>
      </w:r>
      <w:r w:rsidR="00DE799F">
        <w:rPr>
          <w:rFonts w:ascii="Arial" w:hAnsi="Arial" w:cs="Arial"/>
          <w:lang w:eastAsia="cs-CZ"/>
        </w:rPr>
        <w:t>zájmu o</w:t>
      </w:r>
      <w:r>
        <w:rPr>
          <w:rFonts w:ascii="Arial" w:hAnsi="Arial" w:cs="Arial"/>
          <w:lang w:eastAsia="cs-CZ"/>
        </w:rPr>
        <w:t xml:space="preserve"> kombinované financování</w:t>
      </w:r>
      <w:r w:rsidR="00401012">
        <w:rPr>
          <w:rFonts w:ascii="Arial" w:hAnsi="Arial" w:cs="Arial"/>
          <w:lang w:eastAsia="cs-CZ"/>
        </w:rPr>
        <w:t>. Jenže velkou n</w:t>
      </w:r>
      <w:r w:rsidR="00401012" w:rsidRPr="0031135F">
        <w:rPr>
          <w:rFonts w:ascii="Arial" w:hAnsi="Arial" w:cs="Arial"/>
          <w:lang w:eastAsia="cs-CZ"/>
        </w:rPr>
        <w:t xml:space="preserve">evýhodou kombinace více úvěrových produktů je </w:t>
      </w:r>
      <w:r w:rsidR="00401012">
        <w:rPr>
          <w:rFonts w:ascii="Arial" w:hAnsi="Arial" w:cs="Arial"/>
          <w:lang w:eastAsia="cs-CZ"/>
        </w:rPr>
        <w:t xml:space="preserve">jejich celková </w:t>
      </w:r>
      <w:r w:rsidR="00401012" w:rsidRPr="0031135F">
        <w:rPr>
          <w:rFonts w:ascii="Arial" w:hAnsi="Arial" w:cs="Arial"/>
          <w:lang w:eastAsia="cs-CZ"/>
        </w:rPr>
        <w:t xml:space="preserve">cena. </w:t>
      </w:r>
      <w:r w:rsidR="00B9120F">
        <w:rPr>
          <w:rFonts w:ascii="Arial" w:hAnsi="Arial" w:cs="Arial"/>
          <w:lang w:eastAsia="cs-CZ"/>
        </w:rPr>
        <w:t>„</w:t>
      </w:r>
      <w:r w:rsidR="00401012" w:rsidRPr="00B9120F">
        <w:rPr>
          <w:rFonts w:ascii="Arial" w:hAnsi="Arial" w:cs="Arial"/>
          <w:i/>
          <w:lang w:eastAsia="cs-CZ"/>
        </w:rPr>
        <w:t>Překlenovací úvěry ze stavebního spoření jsou běžně úročeny vyšší sazbou</w:t>
      </w:r>
      <w:r>
        <w:rPr>
          <w:rFonts w:ascii="Arial" w:hAnsi="Arial" w:cs="Arial"/>
          <w:i/>
          <w:lang w:eastAsia="cs-CZ"/>
        </w:rPr>
        <w:t xml:space="preserve"> než dnešní hypotéky,</w:t>
      </w:r>
      <w:r w:rsidR="00401012" w:rsidRPr="00B9120F">
        <w:rPr>
          <w:rFonts w:ascii="Arial" w:hAnsi="Arial" w:cs="Arial"/>
          <w:i/>
          <w:lang w:eastAsia="cs-CZ"/>
        </w:rPr>
        <w:t xml:space="preserve"> o spotřebitelských úvěrech ani nemluvě. </w:t>
      </w:r>
      <w:r w:rsidR="00B9120F" w:rsidRPr="00B9120F">
        <w:rPr>
          <w:rFonts w:ascii="Arial" w:hAnsi="Arial" w:cs="Arial"/>
          <w:i/>
          <w:lang w:eastAsia="cs-CZ"/>
        </w:rPr>
        <w:t>Problémem je také vyšší finanční zatížení v prvních letech, které může být pro řadu klientů fatální</w:t>
      </w:r>
      <w:r w:rsidR="00B9120F">
        <w:rPr>
          <w:rFonts w:ascii="Arial" w:hAnsi="Arial" w:cs="Arial"/>
          <w:lang w:eastAsia="cs-CZ"/>
        </w:rPr>
        <w:t>,“ ř</w:t>
      </w:r>
      <w:r w:rsidR="00CC3E0A">
        <w:rPr>
          <w:rFonts w:ascii="Arial" w:hAnsi="Arial" w:cs="Arial"/>
          <w:lang w:eastAsia="cs-CZ"/>
        </w:rPr>
        <w:t>ekla</w:t>
      </w:r>
      <w:r w:rsidR="00B9120F">
        <w:rPr>
          <w:rFonts w:ascii="Arial" w:hAnsi="Arial" w:cs="Arial"/>
          <w:lang w:eastAsia="cs-CZ"/>
        </w:rPr>
        <w:t xml:space="preserve"> výkonná ředitelka společnosti </w:t>
      </w:r>
      <w:proofErr w:type="spellStart"/>
      <w:r w:rsidR="00B9120F">
        <w:rPr>
          <w:rFonts w:ascii="Arial" w:hAnsi="Arial" w:cs="Arial"/>
          <w:lang w:eastAsia="cs-CZ"/>
        </w:rPr>
        <w:t>Central</w:t>
      </w:r>
      <w:proofErr w:type="spellEnd"/>
      <w:r w:rsidR="00B9120F">
        <w:rPr>
          <w:rFonts w:ascii="Arial" w:hAnsi="Arial" w:cs="Arial"/>
          <w:lang w:eastAsia="cs-CZ"/>
        </w:rPr>
        <w:t xml:space="preserve"> Group</w:t>
      </w:r>
      <w:r w:rsidR="00CC3E0A">
        <w:rPr>
          <w:rFonts w:ascii="Arial" w:hAnsi="Arial" w:cs="Arial"/>
          <w:lang w:eastAsia="cs-CZ"/>
        </w:rPr>
        <w:t xml:space="preserve"> Michaela Tomášková</w:t>
      </w:r>
      <w:r w:rsidR="00B9120F">
        <w:rPr>
          <w:rFonts w:ascii="Arial" w:hAnsi="Arial" w:cs="Arial"/>
          <w:lang w:eastAsia="cs-CZ"/>
        </w:rPr>
        <w:t xml:space="preserve">. </w:t>
      </w:r>
    </w:p>
    <w:p w:rsidR="00B9120F" w:rsidRDefault="00B9120F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01012" w:rsidRDefault="00401012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B62E0E">
        <w:rPr>
          <w:rFonts w:ascii="Arial" w:hAnsi="Arial" w:cs="Arial"/>
          <w:b/>
          <w:lang w:eastAsia="cs-CZ"/>
        </w:rPr>
        <w:t>Konkrétní příklad</w:t>
      </w:r>
    </w:p>
    <w:p w:rsidR="00401012" w:rsidRDefault="00401012" w:rsidP="00CC3E0A">
      <w:pPr>
        <w:spacing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Pokud se podíváme na konkrétní příklad u průměrného bytu v novostavbě za </w:t>
      </w:r>
      <w:r w:rsidR="00036C89">
        <w:rPr>
          <w:rFonts w:ascii="Arial" w:hAnsi="Arial" w:cs="Arial"/>
          <w:lang w:eastAsia="cs-CZ"/>
        </w:rPr>
        <w:t>pět</w:t>
      </w:r>
      <w:r>
        <w:rPr>
          <w:rFonts w:ascii="Arial" w:hAnsi="Arial" w:cs="Arial"/>
          <w:lang w:eastAsia="cs-CZ"/>
        </w:rPr>
        <w:t xml:space="preserve"> milionů korun, rozdíly budou vidět na první pohled. Dnes zájemci stač</w:t>
      </w:r>
      <w:r w:rsidR="00036C89">
        <w:rPr>
          <w:rFonts w:ascii="Arial" w:hAnsi="Arial" w:cs="Arial"/>
          <w:lang w:eastAsia="cs-CZ"/>
        </w:rPr>
        <w:t>í mít ve vlastních zdrojích pět</w:t>
      </w:r>
      <w:r>
        <w:rPr>
          <w:rFonts w:ascii="Arial" w:hAnsi="Arial" w:cs="Arial"/>
          <w:lang w:eastAsia="cs-CZ"/>
        </w:rPr>
        <w:t xml:space="preserve"> procent ceny</w:t>
      </w:r>
      <w:r w:rsidR="00CC3E0A">
        <w:rPr>
          <w:rFonts w:ascii="Arial" w:hAnsi="Arial" w:cs="Arial"/>
          <w:lang w:eastAsia="cs-CZ"/>
        </w:rPr>
        <w:t xml:space="preserve">, tedy </w:t>
      </w:r>
      <w:r w:rsidR="00036C89">
        <w:rPr>
          <w:rFonts w:ascii="Arial" w:hAnsi="Arial" w:cs="Arial"/>
          <w:lang w:eastAsia="cs-CZ"/>
        </w:rPr>
        <w:t>25</w:t>
      </w:r>
      <w:r w:rsidR="00CC3E0A">
        <w:rPr>
          <w:rFonts w:ascii="Arial" w:hAnsi="Arial" w:cs="Arial"/>
          <w:lang w:eastAsia="cs-CZ"/>
        </w:rPr>
        <w:t xml:space="preserve">0 tisíc korun v hotovosti. </w:t>
      </w:r>
      <w:r w:rsidR="003723D8">
        <w:rPr>
          <w:rFonts w:ascii="Arial" w:hAnsi="Arial" w:cs="Arial"/>
          <w:lang w:eastAsia="cs-CZ"/>
        </w:rPr>
        <w:t xml:space="preserve">Průměrný klient </w:t>
      </w:r>
      <w:proofErr w:type="spellStart"/>
      <w:r w:rsidR="003723D8">
        <w:rPr>
          <w:rFonts w:ascii="Arial" w:hAnsi="Arial" w:cs="Arial"/>
          <w:lang w:eastAsia="cs-CZ"/>
        </w:rPr>
        <w:t>Central</w:t>
      </w:r>
      <w:proofErr w:type="spellEnd"/>
      <w:r w:rsidR="003723D8">
        <w:rPr>
          <w:rFonts w:ascii="Arial" w:hAnsi="Arial" w:cs="Arial"/>
          <w:lang w:eastAsia="cs-CZ"/>
        </w:rPr>
        <w:t xml:space="preserve"> Group ale žádá hypotéku s deseti procenty vlastních zdrojů, a to bude také nejvyšší dosažitelná hranice hypotéky od dubna. </w:t>
      </w:r>
      <w:r w:rsidR="00CC3E0A">
        <w:rPr>
          <w:rFonts w:ascii="Arial" w:hAnsi="Arial" w:cs="Arial"/>
          <w:lang w:eastAsia="cs-CZ"/>
        </w:rPr>
        <w:t>P</w:t>
      </w:r>
      <w:r>
        <w:rPr>
          <w:rFonts w:ascii="Arial" w:hAnsi="Arial" w:cs="Arial"/>
          <w:lang w:eastAsia="cs-CZ"/>
        </w:rPr>
        <w:t xml:space="preserve">ři délce hypotéky 30 let (od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s garantovanou sazbou 1,89 procent</w:t>
      </w:r>
      <w:r w:rsidR="00B4760A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 xml:space="preserve">) bude </w:t>
      </w:r>
      <w:r w:rsidR="003723D8">
        <w:rPr>
          <w:rFonts w:ascii="Arial" w:hAnsi="Arial" w:cs="Arial"/>
          <w:lang w:eastAsia="cs-CZ"/>
        </w:rPr>
        <w:t xml:space="preserve">zájemce o pětimilionový byt muset mít 500 tisíc v hotovosti a bude </w:t>
      </w:r>
      <w:r>
        <w:rPr>
          <w:rFonts w:ascii="Arial" w:hAnsi="Arial" w:cs="Arial"/>
          <w:lang w:eastAsia="cs-CZ"/>
        </w:rPr>
        <w:t xml:space="preserve">platit </w:t>
      </w:r>
      <w:r w:rsidR="00DE799F">
        <w:rPr>
          <w:rFonts w:ascii="Arial" w:hAnsi="Arial" w:cs="Arial"/>
          <w:lang w:eastAsia="cs-CZ"/>
        </w:rPr>
        <w:t xml:space="preserve">měsíčně </w:t>
      </w:r>
      <w:r>
        <w:rPr>
          <w:rFonts w:ascii="Arial" w:hAnsi="Arial" w:cs="Arial"/>
          <w:lang w:eastAsia="cs-CZ"/>
        </w:rPr>
        <w:t>16.386 korun.</w:t>
      </w:r>
    </w:p>
    <w:p w:rsidR="00CC3E0A" w:rsidRDefault="00CC3E0A" w:rsidP="00CC3E0A">
      <w:pPr>
        <w:spacing w:after="12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Stednstnovn2zvraznn3"/>
        <w:tblW w:w="9774" w:type="dxa"/>
        <w:tblLook w:val="04A0" w:firstRow="1" w:lastRow="0" w:firstColumn="1" w:lastColumn="0" w:noHBand="0" w:noVBand="1"/>
      </w:tblPr>
      <w:tblGrid>
        <w:gridCol w:w="3606"/>
        <w:gridCol w:w="3057"/>
        <w:gridCol w:w="3111"/>
      </w:tblGrid>
      <w:tr w:rsidR="00401012" w:rsidRPr="001C0415" w:rsidTr="0003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6" w:type="dxa"/>
            <w:hideMark/>
          </w:tcPr>
          <w:p w:rsidR="00401012" w:rsidRPr="00594D1C" w:rsidRDefault="00401012" w:rsidP="002817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057" w:type="dxa"/>
            <w:hideMark/>
          </w:tcPr>
          <w:p w:rsidR="00401012" w:rsidRPr="00594D1C" w:rsidRDefault="00DC193D" w:rsidP="00281746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Pouze hypo</w:t>
            </w:r>
            <w:r w:rsidR="00D2273E" w:rsidRP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téka</w:t>
            </w:r>
          </w:p>
        </w:tc>
        <w:tc>
          <w:tcPr>
            <w:tcW w:w="3111" w:type="dxa"/>
            <w:hideMark/>
          </w:tcPr>
          <w:p w:rsidR="00401012" w:rsidRPr="00594D1C" w:rsidRDefault="00DC193D" w:rsidP="00DC193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Hypo</w:t>
            </w:r>
            <w:r w:rsid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téka</w:t>
            </w:r>
            <w:r w:rsidRP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 +</w:t>
            </w:r>
            <w:r w:rsid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 úvěr ze</w:t>
            </w:r>
            <w:r w:rsidRPr="00D2273E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 SS</w:t>
            </w:r>
          </w:p>
        </w:tc>
      </w:tr>
      <w:tr w:rsidR="001C0415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hideMark/>
          </w:tcPr>
          <w:p w:rsidR="00401012" w:rsidRPr="00594D1C" w:rsidRDefault="00401012" w:rsidP="00281746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cs-CZ"/>
              </w:rPr>
            </w:pPr>
            <w:r w:rsidRPr="00594D1C">
              <w:rPr>
                <w:rFonts w:ascii="Arial" w:hAnsi="Arial" w:cs="Arial"/>
                <w:b w:val="0"/>
                <w:color w:val="auto"/>
                <w:sz w:val="20"/>
                <w:szCs w:val="20"/>
                <w:lang w:eastAsia="cs-CZ"/>
              </w:rPr>
              <w:t>Cena bytu</w:t>
            </w:r>
          </w:p>
        </w:tc>
        <w:tc>
          <w:tcPr>
            <w:tcW w:w="3057" w:type="dxa"/>
            <w:hideMark/>
          </w:tcPr>
          <w:p w:rsidR="00401012" w:rsidRPr="00594D1C" w:rsidRDefault="00401012" w:rsidP="0040101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0415">
              <w:rPr>
                <w:rFonts w:ascii="Arial" w:hAnsi="Arial" w:cs="Arial"/>
                <w:sz w:val="20"/>
                <w:szCs w:val="20"/>
                <w:lang w:eastAsia="cs-CZ"/>
              </w:rPr>
              <w:t>5 000 000</w:t>
            </w:r>
            <w:r w:rsidRPr="00594D1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111" w:type="dxa"/>
            <w:hideMark/>
          </w:tcPr>
          <w:p w:rsidR="00401012" w:rsidRPr="00594D1C" w:rsidRDefault="00401012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0415">
              <w:rPr>
                <w:rFonts w:ascii="Arial" w:hAnsi="Arial" w:cs="Arial"/>
                <w:sz w:val="20"/>
                <w:szCs w:val="20"/>
                <w:lang w:eastAsia="cs-CZ"/>
              </w:rPr>
              <w:t>5 000 000 Kč</w:t>
            </w:r>
          </w:p>
        </w:tc>
      </w:tr>
      <w:tr w:rsidR="00401012" w:rsidRPr="001C0415" w:rsidTr="0003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hideMark/>
          </w:tcPr>
          <w:p w:rsidR="00401012" w:rsidRPr="00594D1C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cs-CZ"/>
              </w:rPr>
            </w:pPr>
            <w:r w:rsidRPr="001C0415">
              <w:rPr>
                <w:rFonts w:ascii="Arial" w:hAnsi="Arial" w:cs="Arial"/>
                <w:b w:val="0"/>
                <w:color w:val="auto"/>
                <w:sz w:val="20"/>
                <w:szCs w:val="20"/>
                <w:lang w:eastAsia="cs-CZ"/>
              </w:rPr>
              <w:t>Splatnost hypotéky</w:t>
            </w:r>
          </w:p>
        </w:tc>
        <w:tc>
          <w:tcPr>
            <w:tcW w:w="3057" w:type="dxa"/>
            <w:hideMark/>
          </w:tcPr>
          <w:p w:rsidR="00401012" w:rsidRPr="00594D1C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0415">
              <w:rPr>
                <w:rFonts w:ascii="Arial" w:hAnsi="Arial" w:cs="Arial"/>
                <w:sz w:val="20"/>
                <w:szCs w:val="20"/>
                <w:lang w:eastAsia="cs-CZ"/>
              </w:rPr>
              <w:t>30 let</w:t>
            </w:r>
          </w:p>
        </w:tc>
        <w:tc>
          <w:tcPr>
            <w:tcW w:w="3111" w:type="dxa"/>
            <w:hideMark/>
          </w:tcPr>
          <w:p w:rsidR="00401012" w:rsidRPr="00594D1C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0415">
              <w:rPr>
                <w:rFonts w:ascii="Arial" w:hAnsi="Arial" w:cs="Arial"/>
                <w:sz w:val="20"/>
                <w:szCs w:val="20"/>
                <w:lang w:eastAsia="cs-CZ"/>
              </w:rPr>
              <w:t>30 let</w:t>
            </w:r>
          </w:p>
        </w:tc>
      </w:tr>
      <w:tr w:rsidR="00FB1918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FB1918" w:rsidRPr="001C0415" w:rsidRDefault="00FB1918" w:rsidP="00FB1918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Požadované vlastní prostředky </w:t>
            </w:r>
          </w:p>
        </w:tc>
        <w:tc>
          <w:tcPr>
            <w:tcW w:w="3057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10 %</w:t>
            </w:r>
          </w:p>
        </w:tc>
        <w:tc>
          <w:tcPr>
            <w:tcW w:w="3111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20 %</w:t>
            </w:r>
          </w:p>
        </w:tc>
      </w:tr>
      <w:tr w:rsidR="00401012" w:rsidRPr="001C0415" w:rsidTr="0003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401012" w:rsidRPr="001C0415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Úroková sazba hypotéky</w:t>
            </w:r>
            <w:r w:rsidR="0098566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 *</w:t>
            </w:r>
          </w:p>
        </w:tc>
        <w:tc>
          <w:tcPr>
            <w:tcW w:w="3057" w:type="dxa"/>
          </w:tcPr>
          <w:p w:rsidR="00401012" w:rsidRPr="001C0415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1,89 %</w:t>
            </w:r>
          </w:p>
        </w:tc>
        <w:tc>
          <w:tcPr>
            <w:tcW w:w="3111" w:type="dxa"/>
          </w:tcPr>
          <w:p w:rsidR="00401012" w:rsidRPr="001C0415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1,89</w:t>
            </w:r>
            <w:r w:rsidR="00401012"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</w:t>
            </w:r>
            <w:r w:rsidR="00CC3E0A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%</w:t>
            </w:r>
          </w:p>
        </w:tc>
      </w:tr>
      <w:tr w:rsidR="00FB1918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FB1918" w:rsidRPr="001C0415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Měsíční splátka hypotéky</w:t>
            </w:r>
          </w:p>
        </w:tc>
        <w:tc>
          <w:tcPr>
            <w:tcW w:w="3057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16 386 Kč</w:t>
            </w:r>
          </w:p>
        </w:tc>
        <w:tc>
          <w:tcPr>
            <w:tcW w:w="3111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14 566 Kč</w:t>
            </w:r>
          </w:p>
        </w:tc>
      </w:tr>
      <w:tr w:rsidR="00FB1918" w:rsidRPr="001C0415" w:rsidTr="0003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FB1918" w:rsidRPr="001C0415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Měsíční splátka SS (prvních 8 let)</w:t>
            </w:r>
          </w:p>
        </w:tc>
        <w:tc>
          <w:tcPr>
            <w:tcW w:w="3057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0 Kč</w:t>
            </w:r>
          </w:p>
        </w:tc>
        <w:tc>
          <w:tcPr>
            <w:tcW w:w="3111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3 842 Kč</w:t>
            </w:r>
          </w:p>
        </w:tc>
      </w:tr>
      <w:tr w:rsidR="00FB1918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FB1918" w:rsidRPr="001C0415" w:rsidRDefault="00FB1918" w:rsidP="00FB1918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Měsíční splátka SS (dalších 7 let)</w:t>
            </w:r>
          </w:p>
        </w:tc>
        <w:tc>
          <w:tcPr>
            <w:tcW w:w="3057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0 Kč</w:t>
            </w:r>
          </w:p>
        </w:tc>
        <w:tc>
          <w:tcPr>
            <w:tcW w:w="3111" w:type="dxa"/>
          </w:tcPr>
          <w:p w:rsidR="00FB1918" w:rsidRPr="001C0415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4 210 Kč</w:t>
            </w:r>
          </w:p>
        </w:tc>
      </w:tr>
      <w:tr w:rsidR="001C0415" w:rsidRPr="001C0415" w:rsidTr="0003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hideMark/>
          </w:tcPr>
          <w:p w:rsidR="00FB1918" w:rsidRPr="00594D1C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Splátka celkem (prvních 8 let)</w:t>
            </w:r>
          </w:p>
        </w:tc>
        <w:tc>
          <w:tcPr>
            <w:tcW w:w="3057" w:type="dxa"/>
            <w:hideMark/>
          </w:tcPr>
          <w:p w:rsidR="00FB1918" w:rsidRPr="00594D1C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16 386 Kč</w:t>
            </w:r>
          </w:p>
        </w:tc>
        <w:tc>
          <w:tcPr>
            <w:tcW w:w="3111" w:type="dxa"/>
            <w:hideMark/>
          </w:tcPr>
          <w:p w:rsidR="00FB1918" w:rsidRPr="00594D1C" w:rsidRDefault="00FB1918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18 408 Kč</w:t>
            </w:r>
          </w:p>
        </w:tc>
      </w:tr>
      <w:tr w:rsidR="001C0415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FB1918" w:rsidRPr="00594D1C" w:rsidRDefault="00FB1918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Splátka celkem (dalších 7 let)</w:t>
            </w:r>
          </w:p>
        </w:tc>
        <w:tc>
          <w:tcPr>
            <w:tcW w:w="3057" w:type="dxa"/>
          </w:tcPr>
          <w:p w:rsidR="00FB1918" w:rsidRPr="00594D1C" w:rsidRDefault="00FB1918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16 386 Kč</w:t>
            </w:r>
          </w:p>
        </w:tc>
        <w:tc>
          <w:tcPr>
            <w:tcW w:w="3111" w:type="dxa"/>
          </w:tcPr>
          <w:p w:rsidR="00FB1918" w:rsidRPr="00594D1C" w:rsidRDefault="00FB1918" w:rsidP="00FB19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18 776 Kč</w:t>
            </w:r>
          </w:p>
        </w:tc>
      </w:tr>
      <w:tr w:rsidR="001C0415" w:rsidRPr="001C0415" w:rsidTr="0003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401012" w:rsidRPr="001C0415" w:rsidRDefault="00DC193D" w:rsidP="00281746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Splátka celkem </w:t>
            </w:r>
            <w:r w:rsidR="003723D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(</w:t>
            </w: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16</w:t>
            </w:r>
            <w:r w:rsidR="003723D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  <w:r w:rsidRPr="001C041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 xml:space="preserve"> – 30</w:t>
            </w:r>
            <w:r w:rsidR="003723D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. rok)</w:t>
            </w:r>
          </w:p>
        </w:tc>
        <w:tc>
          <w:tcPr>
            <w:tcW w:w="3057" w:type="dxa"/>
          </w:tcPr>
          <w:p w:rsidR="00401012" w:rsidRPr="001C0415" w:rsidRDefault="00DC193D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16 386 Kč</w:t>
            </w:r>
          </w:p>
        </w:tc>
        <w:tc>
          <w:tcPr>
            <w:tcW w:w="3111" w:type="dxa"/>
          </w:tcPr>
          <w:p w:rsidR="00401012" w:rsidRPr="001C0415" w:rsidRDefault="00DC193D" w:rsidP="0028174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cs-CZ"/>
              </w:rPr>
              <w:t>14 566 Kč</w:t>
            </w:r>
          </w:p>
        </w:tc>
      </w:tr>
      <w:tr w:rsidR="001C0415" w:rsidRPr="001C0415" w:rsidTr="0003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1C0415" w:rsidRPr="001C0415" w:rsidRDefault="001C0415" w:rsidP="00281746">
            <w:pPr>
              <w:spacing w:after="0" w:line="240" w:lineRule="auto"/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Cs w:val="0"/>
                <w:color w:val="auto"/>
                <w:sz w:val="20"/>
                <w:szCs w:val="20"/>
                <w:bdr w:val="none" w:sz="0" w:space="0" w:color="auto" w:frame="1"/>
                <w:lang w:eastAsia="cs-CZ"/>
              </w:rPr>
              <w:t>Zaplaceno celkem</w:t>
            </w:r>
          </w:p>
        </w:tc>
        <w:tc>
          <w:tcPr>
            <w:tcW w:w="3057" w:type="dxa"/>
          </w:tcPr>
          <w:p w:rsidR="001C0415" w:rsidRPr="001C0415" w:rsidRDefault="001C0415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5 898 960 Kč</w:t>
            </w:r>
          </w:p>
        </w:tc>
        <w:tc>
          <w:tcPr>
            <w:tcW w:w="3111" w:type="dxa"/>
          </w:tcPr>
          <w:p w:rsidR="001C0415" w:rsidRPr="001C0415" w:rsidRDefault="001C0415" w:rsidP="0028174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1C0415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5 966 232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Kč</w:t>
            </w:r>
          </w:p>
        </w:tc>
      </w:tr>
    </w:tbl>
    <w:p w:rsidR="0098566F" w:rsidRDefault="0098566F" w:rsidP="00401012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98566F">
        <w:rPr>
          <w:rFonts w:ascii="Arial" w:hAnsi="Arial" w:cs="Arial"/>
          <w:i/>
          <w:sz w:val="18"/>
          <w:szCs w:val="18"/>
          <w:lang w:eastAsia="cs-CZ"/>
        </w:rPr>
        <w:t>*) Příklad počítá se stálou úrokovou sazbou po dobu 30 let</w:t>
      </w:r>
    </w:p>
    <w:p w:rsidR="00CC3E0A" w:rsidRPr="0098566F" w:rsidRDefault="00CC3E0A" w:rsidP="00401012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3723D8" w:rsidRDefault="003723D8" w:rsidP="003723D8">
      <w:pPr>
        <w:spacing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 dubna začnou platit nová doporučení ČNB, a kromě maximální 90procentní výše hypotéky budou muset banky nabízet ve vysokoprocentním pásmu, tedy od 80 do 90 procent hypotéky, jen část úvěrů, konkrétně jen 15 procent svého portfolia. Části zájemců o nové bydlení tak nebude stačit mít jen 500 tisíc korun vlastních zdrojů, ale bude si muset zajistit v hotovosti ještě jednou tolik nebo si </w:t>
      </w:r>
      <w:r>
        <w:rPr>
          <w:rFonts w:ascii="Arial" w:hAnsi="Arial" w:cs="Arial"/>
          <w:lang w:eastAsia="cs-CZ"/>
        </w:rPr>
        <w:lastRenderedPageBreak/>
        <w:t>na tuto částku zajistit financování například úvěrem ze stavebního spoření. V takovém případě bud</w:t>
      </w:r>
      <w:r w:rsidR="00C822C1">
        <w:rPr>
          <w:rFonts w:ascii="Arial" w:hAnsi="Arial" w:cs="Arial"/>
          <w:lang w:eastAsia="cs-CZ"/>
        </w:rPr>
        <w:t>ou</w:t>
      </w:r>
      <w:r>
        <w:rPr>
          <w:rFonts w:ascii="Arial" w:hAnsi="Arial" w:cs="Arial"/>
          <w:lang w:eastAsia="cs-CZ"/>
        </w:rPr>
        <w:t xml:space="preserve"> platit sice nižší splátku hypotéky ve výši 14.566 korun, k tomu ale ještě splátku úvěru ze stavebního spoření. Ta bude prvních osm let, kdy klient čerpá překlenovací úvěr </w:t>
      </w:r>
      <w:r w:rsidR="00DE799F">
        <w:rPr>
          <w:rFonts w:ascii="Arial" w:hAnsi="Arial" w:cs="Arial"/>
          <w:lang w:eastAsia="cs-CZ"/>
        </w:rPr>
        <w:t>činit</w:t>
      </w:r>
      <w:r>
        <w:rPr>
          <w:rFonts w:ascii="Arial" w:hAnsi="Arial" w:cs="Arial"/>
          <w:lang w:eastAsia="cs-CZ"/>
        </w:rPr>
        <w:t xml:space="preserve"> 3842 korun a dalších sedm let, po dobu čerpání řádného úvěru</w:t>
      </w:r>
      <w:r w:rsidR="00DE799F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pak 4210 korun. V součtu s hypotečním úvěrem se měsíční finanční zatížení vyhoupne na 18.480 korun resp. 18.776 korun. Rozdíl je tedy více než 2.000 korun měsíčně.</w:t>
      </w:r>
      <w:r w:rsidR="00F44EF4">
        <w:rPr>
          <w:rFonts w:ascii="Arial" w:hAnsi="Arial" w:cs="Arial"/>
          <w:lang w:eastAsia="cs-CZ"/>
        </w:rPr>
        <w:t xml:space="preserve"> </w:t>
      </w:r>
    </w:p>
    <w:p w:rsidR="003723D8" w:rsidRDefault="003723D8" w:rsidP="003723D8">
      <w:pPr>
        <w:spacing w:after="120"/>
        <w:contextualSpacing/>
        <w:jc w:val="both"/>
        <w:rPr>
          <w:rFonts w:ascii="Arial" w:hAnsi="Arial" w:cs="Arial"/>
          <w:lang w:eastAsia="cs-CZ"/>
        </w:rPr>
      </w:pPr>
    </w:p>
    <w:p w:rsidR="00CC3E0A" w:rsidRDefault="00CC3E0A" w:rsidP="00CC3E0A">
      <w:pPr>
        <w:spacing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bychom předpokládali, že zůstane úroková sazba u uvěrových produktu po celých 30 let stejná, bude celkový rozdíl mezi čistě hypotečním úvěrem a kombinovaným financováním necelých 70 tisíc korun. To není sice závratné navýšení. Velmi citelným problémem pro řadu žadatelů ale může být vyšší finanční zatížení během prvních 15 let.</w:t>
      </w:r>
    </w:p>
    <w:p w:rsidR="00CC3E0A" w:rsidRDefault="00CC3E0A" w:rsidP="00CC3E0A">
      <w:pPr>
        <w:spacing w:after="120"/>
        <w:contextualSpacing/>
        <w:jc w:val="both"/>
        <w:rPr>
          <w:rFonts w:ascii="Arial" w:hAnsi="Arial" w:cs="Arial"/>
          <w:lang w:eastAsia="cs-CZ"/>
        </w:rPr>
      </w:pPr>
    </w:p>
    <w:p w:rsidR="00CC3E0A" w:rsidRPr="00CC3E0A" w:rsidRDefault="00CC3E0A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CC3E0A">
        <w:rPr>
          <w:rFonts w:ascii="Arial" w:hAnsi="Arial" w:cs="Arial"/>
          <w:b/>
          <w:lang w:eastAsia="cs-CZ"/>
        </w:rPr>
        <w:t>Sazby porostou</w:t>
      </w:r>
    </w:p>
    <w:p w:rsidR="001D7DB4" w:rsidRDefault="006F7B8E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D7DB4">
        <w:rPr>
          <w:rFonts w:ascii="Arial" w:hAnsi="Arial" w:cs="Arial"/>
          <w:lang w:eastAsia="cs-CZ"/>
        </w:rPr>
        <w:t>Sazby hypoték na začátku roku začaly pomalu nabírat směr vzhůru</w:t>
      </w:r>
      <w:r w:rsidR="001D7DB4" w:rsidRPr="001D7DB4">
        <w:rPr>
          <w:rFonts w:ascii="Arial" w:hAnsi="Arial" w:cs="Arial"/>
          <w:lang w:eastAsia="cs-CZ"/>
        </w:rPr>
        <w:t xml:space="preserve"> a </w:t>
      </w:r>
      <w:r w:rsidRPr="001D7DB4">
        <w:rPr>
          <w:rFonts w:ascii="Arial" w:hAnsi="Arial" w:cs="Arial"/>
          <w:lang w:eastAsia="cs-CZ"/>
        </w:rPr>
        <w:t>další růst</w:t>
      </w:r>
      <w:r w:rsidR="001D7DB4" w:rsidRPr="001D7DB4">
        <w:rPr>
          <w:rFonts w:ascii="Arial" w:hAnsi="Arial" w:cs="Arial"/>
          <w:lang w:eastAsia="cs-CZ"/>
        </w:rPr>
        <w:t xml:space="preserve"> na sebe </w:t>
      </w:r>
      <w:r w:rsidR="001D7DB4">
        <w:rPr>
          <w:rFonts w:ascii="Arial" w:hAnsi="Arial" w:cs="Arial"/>
          <w:lang w:eastAsia="cs-CZ"/>
        </w:rPr>
        <w:t xml:space="preserve">zřejmě </w:t>
      </w:r>
      <w:r w:rsidR="001D7DB4" w:rsidRPr="001D7DB4">
        <w:rPr>
          <w:rFonts w:ascii="Arial" w:hAnsi="Arial" w:cs="Arial"/>
          <w:lang w:eastAsia="cs-CZ"/>
        </w:rPr>
        <w:t xml:space="preserve">nenechá dlouho čekat. </w:t>
      </w:r>
      <w:r w:rsidRPr="001D7DB4">
        <w:rPr>
          <w:rFonts w:ascii="Arial" w:hAnsi="Arial" w:cs="Arial"/>
          <w:lang w:eastAsia="cs-CZ"/>
        </w:rPr>
        <w:t xml:space="preserve">Lednový </w:t>
      </w:r>
      <w:proofErr w:type="spellStart"/>
      <w:r w:rsidRPr="001D7DB4">
        <w:rPr>
          <w:rFonts w:ascii="Arial" w:hAnsi="Arial" w:cs="Arial"/>
          <w:lang w:eastAsia="cs-CZ"/>
        </w:rPr>
        <w:t>Hypoindex</w:t>
      </w:r>
      <w:proofErr w:type="spellEnd"/>
      <w:r w:rsidRPr="001D7DB4">
        <w:rPr>
          <w:rFonts w:ascii="Arial" w:hAnsi="Arial" w:cs="Arial"/>
          <w:lang w:eastAsia="cs-CZ"/>
        </w:rPr>
        <w:t xml:space="preserve"> sice přinesl jen nepatrný nárůst sazeb</w:t>
      </w:r>
      <w:r w:rsidR="00BE56DB">
        <w:rPr>
          <w:rFonts w:ascii="Arial" w:hAnsi="Arial" w:cs="Arial"/>
          <w:lang w:eastAsia="cs-CZ"/>
        </w:rPr>
        <w:t xml:space="preserve"> na 1,82 procenta</w:t>
      </w:r>
      <w:r w:rsidR="00036C89">
        <w:rPr>
          <w:rFonts w:ascii="Arial" w:hAnsi="Arial" w:cs="Arial"/>
          <w:lang w:eastAsia="cs-CZ"/>
        </w:rPr>
        <w:t xml:space="preserve"> a únorov</w:t>
      </w:r>
      <w:r w:rsidR="00DE799F">
        <w:rPr>
          <w:rFonts w:ascii="Arial" w:hAnsi="Arial" w:cs="Arial"/>
          <w:lang w:eastAsia="cs-CZ"/>
        </w:rPr>
        <w:t xml:space="preserve">á data </w:t>
      </w:r>
      <w:r w:rsidR="00036C89">
        <w:rPr>
          <w:rFonts w:ascii="Arial" w:hAnsi="Arial" w:cs="Arial"/>
          <w:lang w:eastAsia="cs-CZ"/>
        </w:rPr>
        <w:t>přidala dalších pár setin na 1,87 procenta</w:t>
      </w:r>
      <w:r w:rsidR="00DE799F">
        <w:rPr>
          <w:rFonts w:ascii="Arial" w:hAnsi="Arial" w:cs="Arial"/>
          <w:lang w:eastAsia="cs-CZ"/>
        </w:rPr>
        <w:t>. S</w:t>
      </w:r>
      <w:r w:rsidRPr="001D7DB4">
        <w:rPr>
          <w:rFonts w:ascii="Arial" w:hAnsi="Arial" w:cs="Arial"/>
          <w:lang w:eastAsia="cs-CZ"/>
        </w:rPr>
        <w:t xml:space="preserve">kutečné zdražování </w:t>
      </w:r>
      <w:r w:rsidR="00DE799F">
        <w:rPr>
          <w:rFonts w:ascii="Arial" w:hAnsi="Arial" w:cs="Arial"/>
          <w:lang w:eastAsia="cs-CZ"/>
        </w:rPr>
        <w:t xml:space="preserve">ale </w:t>
      </w:r>
      <w:r w:rsidR="00F44EF4">
        <w:rPr>
          <w:rFonts w:ascii="Arial" w:hAnsi="Arial" w:cs="Arial"/>
          <w:lang w:eastAsia="cs-CZ"/>
        </w:rPr>
        <w:t>od dubna</w:t>
      </w:r>
      <w:r w:rsidR="001D7DB4" w:rsidRPr="001D7DB4">
        <w:rPr>
          <w:rFonts w:ascii="Arial" w:hAnsi="Arial" w:cs="Arial"/>
          <w:lang w:eastAsia="cs-CZ"/>
        </w:rPr>
        <w:t xml:space="preserve"> přijde. </w:t>
      </w:r>
      <w:r w:rsidR="00F44EF4">
        <w:rPr>
          <w:rFonts w:ascii="Arial" w:hAnsi="Arial" w:cs="Arial"/>
          <w:lang w:eastAsia="cs-CZ"/>
        </w:rPr>
        <w:t>Banky již avizovaly, že zvednou své sazby u hypoték s akontací od 10 do 20 procent až</w:t>
      </w:r>
      <w:r w:rsidR="00B4760A">
        <w:rPr>
          <w:rFonts w:ascii="Arial" w:hAnsi="Arial" w:cs="Arial"/>
          <w:lang w:eastAsia="cs-CZ"/>
        </w:rPr>
        <w:t xml:space="preserve"> o jeden procentní bod, což by </w:t>
      </w:r>
      <w:r w:rsidR="00F44EF4">
        <w:rPr>
          <w:rFonts w:ascii="Arial" w:hAnsi="Arial" w:cs="Arial"/>
          <w:lang w:eastAsia="cs-CZ"/>
        </w:rPr>
        <w:t xml:space="preserve">v modelovém případu zdražilo </w:t>
      </w:r>
      <w:r w:rsidR="00B4760A">
        <w:rPr>
          <w:rFonts w:ascii="Arial" w:hAnsi="Arial" w:cs="Arial"/>
          <w:lang w:eastAsia="cs-CZ"/>
        </w:rPr>
        <w:t>splátku</w:t>
      </w:r>
      <w:r w:rsidR="00F44EF4">
        <w:rPr>
          <w:rFonts w:ascii="Arial" w:hAnsi="Arial" w:cs="Arial"/>
          <w:lang w:eastAsia="cs-CZ"/>
        </w:rPr>
        <w:t xml:space="preserve"> zhruba o 2000 korun měsíčně.</w:t>
      </w:r>
    </w:p>
    <w:p w:rsidR="003E1AF9" w:rsidRDefault="003E1AF9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3E1AF9" w:rsidRPr="00A7509B" w:rsidRDefault="003E1AF9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7509B">
        <w:rPr>
          <w:rFonts w:ascii="Arial" w:hAnsi="Arial" w:cs="Arial"/>
          <w:i/>
          <w:lang w:eastAsia="cs-CZ"/>
        </w:rPr>
        <w:t>„</w:t>
      </w:r>
      <w:r>
        <w:rPr>
          <w:rFonts w:ascii="Arial" w:hAnsi="Arial" w:cs="Arial"/>
          <w:i/>
          <w:lang w:eastAsia="cs-CZ"/>
        </w:rPr>
        <w:t>Další z</w:t>
      </w:r>
      <w:r w:rsidRPr="00A7509B">
        <w:rPr>
          <w:rFonts w:ascii="Arial" w:hAnsi="Arial" w:cs="Arial"/>
          <w:i/>
          <w:lang w:eastAsia="cs-CZ"/>
        </w:rPr>
        <w:t xml:space="preserve">horšení dostupnosti hypoték </w:t>
      </w:r>
      <w:r>
        <w:rPr>
          <w:rFonts w:ascii="Arial" w:hAnsi="Arial" w:cs="Arial"/>
          <w:i/>
          <w:lang w:eastAsia="cs-CZ"/>
        </w:rPr>
        <w:t xml:space="preserve">dopadne zejména na </w:t>
      </w:r>
      <w:r w:rsidRPr="00A7509B">
        <w:rPr>
          <w:rFonts w:ascii="Arial" w:hAnsi="Arial" w:cs="Arial"/>
          <w:i/>
          <w:lang w:eastAsia="cs-CZ"/>
        </w:rPr>
        <w:t xml:space="preserve">domácnosti, které si kupují první </w:t>
      </w:r>
      <w:r w:rsidR="00C822C1">
        <w:rPr>
          <w:rFonts w:ascii="Arial" w:hAnsi="Arial" w:cs="Arial"/>
          <w:i/>
          <w:lang w:eastAsia="cs-CZ"/>
        </w:rPr>
        <w:t>bydlení</w:t>
      </w:r>
      <w:r>
        <w:rPr>
          <w:rFonts w:ascii="Arial" w:hAnsi="Arial" w:cs="Arial"/>
          <w:i/>
          <w:lang w:eastAsia="cs-CZ"/>
        </w:rPr>
        <w:t xml:space="preserve">. </w:t>
      </w:r>
      <w:r w:rsidRPr="003E1AF9">
        <w:rPr>
          <w:rFonts w:ascii="Arial" w:hAnsi="Arial" w:cs="Arial"/>
          <w:i/>
          <w:lang w:eastAsia="cs-CZ"/>
        </w:rPr>
        <w:t>Ty totiž v řadě případů nebudou mít jinou možnost, než hypotéku dofinancovat jinou půjčkou</w:t>
      </w:r>
      <w:r>
        <w:rPr>
          <w:rFonts w:ascii="Arial" w:hAnsi="Arial" w:cs="Arial"/>
          <w:i/>
          <w:lang w:eastAsia="cs-CZ"/>
        </w:rPr>
        <w:t>. Nákup nemovitosti se jim tak prodraží</w:t>
      </w:r>
      <w:r w:rsidRPr="00A7509B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</w:t>
      </w:r>
      <w:r w:rsidR="007E10BF">
        <w:rPr>
          <w:rFonts w:ascii="Arial" w:hAnsi="Arial" w:cs="Arial"/>
          <w:lang w:eastAsia="cs-CZ"/>
        </w:rPr>
        <w:t>vysvětl</w:t>
      </w:r>
      <w:r w:rsidR="00825E15">
        <w:rPr>
          <w:rFonts w:ascii="Arial" w:hAnsi="Arial" w:cs="Arial"/>
          <w:lang w:eastAsia="cs-CZ"/>
        </w:rPr>
        <w:t>ila</w:t>
      </w:r>
      <w:r w:rsidRPr="00A7509B">
        <w:rPr>
          <w:rFonts w:ascii="Arial" w:hAnsi="Arial" w:cs="Arial"/>
          <w:lang w:eastAsia="cs-CZ"/>
        </w:rPr>
        <w:t xml:space="preserve"> Tomášková. </w:t>
      </w:r>
      <w:r w:rsidR="00C822C1">
        <w:rPr>
          <w:rFonts w:ascii="Arial" w:hAnsi="Arial" w:cs="Arial"/>
          <w:lang w:eastAsia="cs-CZ"/>
        </w:rPr>
        <w:t>Ve</w:t>
      </w:r>
      <w:r>
        <w:rPr>
          <w:rFonts w:ascii="Arial" w:hAnsi="Arial" w:cs="Arial"/>
          <w:lang w:eastAsia="cs-CZ"/>
        </w:rPr>
        <w:t xml:space="preserve"> většině případů </w:t>
      </w:r>
      <w:r w:rsidR="00C822C1">
        <w:rPr>
          <w:rFonts w:ascii="Arial" w:hAnsi="Arial" w:cs="Arial"/>
          <w:lang w:eastAsia="cs-CZ"/>
        </w:rPr>
        <w:t>totiž takové domácnosti nevlastní jinou n</w:t>
      </w:r>
      <w:r w:rsidRPr="00A7509B">
        <w:rPr>
          <w:rFonts w:ascii="Arial" w:hAnsi="Arial" w:cs="Arial"/>
          <w:lang w:eastAsia="cs-CZ"/>
        </w:rPr>
        <w:t xml:space="preserve">emovitost, kterou při koupi nového bydlení mohou prodat a získat tak dostatek zdrojů na pokrytí části kupní ceny. </w:t>
      </w:r>
      <w:r>
        <w:rPr>
          <w:rFonts w:ascii="Arial" w:hAnsi="Arial" w:cs="Arial"/>
          <w:lang w:eastAsia="cs-CZ"/>
        </w:rPr>
        <w:t>Nová pravidla ČNB tak</w:t>
      </w:r>
      <w:r w:rsidR="00DE799F">
        <w:rPr>
          <w:rFonts w:ascii="Arial" w:hAnsi="Arial" w:cs="Arial"/>
          <w:lang w:eastAsia="cs-CZ"/>
        </w:rPr>
        <w:t>é</w:t>
      </w:r>
      <w:r>
        <w:rPr>
          <w:rFonts w:ascii="Arial" w:hAnsi="Arial" w:cs="Arial"/>
          <w:lang w:eastAsia="cs-CZ"/>
        </w:rPr>
        <w:t xml:space="preserve"> mohou znamenat, že některé domácnosti</w:t>
      </w:r>
      <w:r w:rsidRPr="00A7509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na </w:t>
      </w:r>
      <w:r w:rsidRPr="00A7509B">
        <w:rPr>
          <w:rFonts w:ascii="Arial" w:hAnsi="Arial" w:cs="Arial"/>
          <w:lang w:eastAsia="cs-CZ"/>
        </w:rPr>
        <w:t xml:space="preserve">hypotéku vůbec </w:t>
      </w:r>
      <w:r>
        <w:rPr>
          <w:rFonts w:ascii="Arial" w:hAnsi="Arial" w:cs="Arial"/>
          <w:lang w:eastAsia="cs-CZ"/>
        </w:rPr>
        <w:t xml:space="preserve">nedosáhnou, přestože jsou jejich příjmy nadprůměrné. </w:t>
      </w:r>
      <w:r w:rsidR="004E1C9F">
        <w:rPr>
          <w:rFonts w:ascii="Arial" w:hAnsi="Arial" w:cs="Arial"/>
        </w:rPr>
        <w:t>Případná p</w:t>
      </w:r>
      <w:r w:rsidRPr="00A7509B">
        <w:rPr>
          <w:rFonts w:ascii="Arial" w:hAnsi="Arial" w:cs="Arial"/>
          <w:lang w:eastAsia="cs-CZ"/>
        </w:rPr>
        <w:t xml:space="preserve">ůjčka na dofinancování části ceny </w:t>
      </w:r>
      <w:r w:rsidR="00C822C1">
        <w:rPr>
          <w:rFonts w:ascii="Arial" w:hAnsi="Arial" w:cs="Arial"/>
          <w:lang w:eastAsia="cs-CZ"/>
        </w:rPr>
        <w:t>totiž také</w:t>
      </w:r>
      <w:r w:rsidRPr="00A7509B">
        <w:rPr>
          <w:rFonts w:ascii="Arial" w:hAnsi="Arial" w:cs="Arial"/>
          <w:lang w:eastAsia="cs-CZ"/>
        </w:rPr>
        <w:t xml:space="preserve"> výrazně sn</w:t>
      </w:r>
      <w:r w:rsidR="004E1C9F">
        <w:rPr>
          <w:rFonts w:ascii="Arial" w:hAnsi="Arial" w:cs="Arial"/>
          <w:lang w:eastAsia="cs-CZ"/>
        </w:rPr>
        <w:t>i</w:t>
      </w:r>
      <w:r w:rsidRPr="00A7509B">
        <w:rPr>
          <w:rFonts w:ascii="Arial" w:hAnsi="Arial" w:cs="Arial"/>
          <w:lang w:eastAsia="cs-CZ"/>
        </w:rPr>
        <w:t>ž</w:t>
      </w:r>
      <w:r w:rsidR="004E1C9F">
        <w:rPr>
          <w:rFonts w:ascii="Arial" w:hAnsi="Arial" w:cs="Arial"/>
          <w:lang w:eastAsia="cs-CZ"/>
        </w:rPr>
        <w:t xml:space="preserve">uje </w:t>
      </w:r>
      <w:r w:rsidRPr="00A7509B">
        <w:rPr>
          <w:rFonts w:ascii="Arial" w:hAnsi="Arial" w:cs="Arial"/>
          <w:lang w:eastAsia="cs-CZ"/>
        </w:rPr>
        <w:t xml:space="preserve">bonitu </w:t>
      </w:r>
      <w:r w:rsidR="00C822C1">
        <w:rPr>
          <w:rFonts w:ascii="Arial" w:hAnsi="Arial" w:cs="Arial"/>
          <w:lang w:eastAsia="cs-CZ"/>
        </w:rPr>
        <w:t xml:space="preserve">klientů </w:t>
      </w:r>
      <w:r w:rsidRPr="00A7509B">
        <w:rPr>
          <w:rFonts w:ascii="Arial" w:hAnsi="Arial" w:cs="Arial"/>
          <w:lang w:eastAsia="cs-CZ"/>
        </w:rPr>
        <w:t>u hypoteční banky.</w:t>
      </w:r>
    </w:p>
    <w:p w:rsidR="00B9120F" w:rsidRDefault="00B9120F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C7D74" w:rsidRDefault="00CC7D74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Od července</w:t>
      </w:r>
      <w:r w:rsidRPr="00CC7D74">
        <w:rPr>
          <w:rFonts w:ascii="Arial" w:hAnsi="Arial" w:cs="Arial"/>
          <w:b/>
          <w:lang w:eastAsia="cs-CZ"/>
        </w:rPr>
        <w:t xml:space="preserve"> to může být ještě přísnější</w:t>
      </w:r>
    </w:p>
    <w:p w:rsidR="00CC7D74" w:rsidRDefault="00CC7D74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 klidně možné, že varianta, která umožňuje kombinaci hypotečního úvěru a úvěru ze stavebního spoření, nakonec </w:t>
      </w:r>
      <w:r w:rsidR="00C822C1">
        <w:rPr>
          <w:rFonts w:ascii="Arial" w:hAnsi="Arial" w:cs="Arial"/>
          <w:lang w:eastAsia="cs-CZ"/>
        </w:rPr>
        <w:t xml:space="preserve">nebude </w:t>
      </w:r>
      <w:r>
        <w:rPr>
          <w:rFonts w:ascii="Arial" w:hAnsi="Arial" w:cs="Arial"/>
          <w:lang w:eastAsia="cs-CZ"/>
        </w:rPr>
        <w:t xml:space="preserve">ze strany ČNB tolerována. Je totiž připravena novela zákona o ČNB, podle které </w:t>
      </w:r>
      <w:r w:rsidR="00533467">
        <w:rPr>
          <w:rFonts w:ascii="Arial" w:hAnsi="Arial" w:cs="Arial"/>
          <w:lang w:eastAsia="cs-CZ"/>
        </w:rPr>
        <w:t>mají b</w:t>
      </w:r>
      <w:r w:rsidR="00F44EF4">
        <w:rPr>
          <w:rFonts w:ascii="Arial" w:hAnsi="Arial" w:cs="Arial"/>
          <w:lang w:eastAsia="cs-CZ"/>
        </w:rPr>
        <w:t>ýt</w:t>
      </w:r>
      <w:r>
        <w:rPr>
          <w:rFonts w:ascii="Arial" w:hAnsi="Arial" w:cs="Arial"/>
          <w:lang w:eastAsia="cs-CZ"/>
        </w:rPr>
        <w:t xml:space="preserve"> pevně stanoveny parametry celkové výše zadlužení klienta (DSTI). Pokud by byla novela přijata, budou muset banky nově </w:t>
      </w:r>
      <w:r w:rsidR="00F44EF4">
        <w:rPr>
          <w:rFonts w:ascii="Arial" w:hAnsi="Arial" w:cs="Arial"/>
          <w:lang w:eastAsia="cs-CZ"/>
        </w:rPr>
        <w:t xml:space="preserve">například </w:t>
      </w:r>
      <w:r>
        <w:rPr>
          <w:rFonts w:ascii="Arial" w:hAnsi="Arial" w:cs="Arial"/>
          <w:lang w:eastAsia="cs-CZ"/>
        </w:rPr>
        <w:t xml:space="preserve">zjišťovat, kde má zájemce další úvěry a pokud by celkové úvěrové zatížení překročilo určitou hranici, banka by </w:t>
      </w:r>
      <w:r w:rsidR="00C822C1">
        <w:rPr>
          <w:rFonts w:ascii="Arial" w:hAnsi="Arial" w:cs="Arial"/>
          <w:lang w:eastAsia="cs-CZ"/>
        </w:rPr>
        <w:t>již</w:t>
      </w:r>
      <w:r>
        <w:rPr>
          <w:rFonts w:ascii="Arial" w:hAnsi="Arial" w:cs="Arial"/>
          <w:lang w:eastAsia="cs-CZ"/>
        </w:rPr>
        <w:t xml:space="preserve"> úvěr nesměla poskytnout.</w:t>
      </w:r>
    </w:p>
    <w:p w:rsidR="00CC7D74" w:rsidRDefault="00CC7D74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76C5C" w:rsidRPr="00A7509B" w:rsidRDefault="00F44EF4" w:rsidP="0040101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Na zájemce o nové bydlení opatření v první vlně nedopadnou</w:t>
      </w:r>
    </w:p>
    <w:p w:rsidR="00F44EF4" w:rsidRPr="00A7509B" w:rsidRDefault="00F44EF4" w:rsidP="00F44EF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Změny na hypotečním trhu v první vlně zřejmě nedopadnou na zájemce o nové bydlení. Jde o </w:t>
      </w:r>
      <w:proofErr w:type="spellStart"/>
      <w:r>
        <w:rPr>
          <w:rFonts w:ascii="Arial" w:hAnsi="Arial" w:cs="Arial"/>
          <w:lang w:eastAsia="cs-CZ"/>
        </w:rPr>
        <w:t>nejbonitnější</w:t>
      </w:r>
      <w:proofErr w:type="spellEnd"/>
      <w:r>
        <w:rPr>
          <w:rFonts w:ascii="Arial" w:hAnsi="Arial" w:cs="Arial"/>
          <w:lang w:eastAsia="cs-CZ"/>
        </w:rPr>
        <w:t xml:space="preserve"> klientelu a banky již avizovaly, že výhodné vysokoprocentní úvěry budou nabízet právě zájemcům o nové byty.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Group, který spolupracuje s pěti hypotečními bankami, tak bude i nadále moci garantovat všem klientům výhodnou sazbu 1,89 procenta pro 90procentní úvěry. U</w:t>
      </w:r>
      <w:r w:rsidRPr="00A7509B">
        <w:rPr>
          <w:rFonts w:ascii="Arial" w:hAnsi="Arial" w:cs="Arial"/>
          <w:lang w:eastAsia="cs-CZ"/>
        </w:rPr>
        <w:t xml:space="preserve"> více než 1500 hypoték, které za poslední čtyři roky pro své klienty s bankami sjednal, </w:t>
      </w:r>
      <w:r>
        <w:rPr>
          <w:rFonts w:ascii="Arial" w:hAnsi="Arial" w:cs="Arial"/>
          <w:lang w:eastAsia="cs-CZ"/>
        </w:rPr>
        <w:t xml:space="preserve">totiž eviduje </w:t>
      </w:r>
      <w:r w:rsidRPr="00A7509B">
        <w:rPr>
          <w:rFonts w:ascii="Arial" w:hAnsi="Arial" w:cs="Arial"/>
          <w:lang w:eastAsia="cs-CZ"/>
        </w:rPr>
        <w:t>v podstatě nulovou delikvenci. Pravděpodobnost, že zájemce o nový byt nebude hypotéku splácet, je tak zanedbatelná.</w:t>
      </w:r>
      <w:r w:rsidRPr="00A7509B">
        <w:rPr>
          <w:rFonts w:ascii="Arial" w:hAnsi="Arial" w:cs="Arial"/>
          <w:i/>
        </w:rPr>
        <w:t xml:space="preserve"> „</w:t>
      </w:r>
      <w:r>
        <w:rPr>
          <w:rFonts w:ascii="Arial" w:hAnsi="Arial" w:cs="Arial"/>
          <w:i/>
        </w:rPr>
        <w:t xml:space="preserve">Právě z těchto důvodů očekáváme, že </w:t>
      </w:r>
      <w:r w:rsidRPr="00A7509B">
        <w:rPr>
          <w:rFonts w:ascii="Arial" w:hAnsi="Arial" w:cs="Arial"/>
          <w:i/>
        </w:rPr>
        <w:t xml:space="preserve">budou banky dávat vysokoprocentní úvěry především bonitním klientům, </w:t>
      </w:r>
      <w:r w:rsidR="00533467">
        <w:rPr>
          <w:rFonts w:ascii="Arial" w:hAnsi="Arial" w:cs="Arial"/>
          <w:i/>
        </w:rPr>
        <w:t>kteří</w:t>
      </w:r>
      <w:bookmarkStart w:id="0" w:name="_GoBack"/>
      <w:bookmarkEnd w:id="0"/>
      <w:r w:rsidRPr="00A7509B">
        <w:rPr>
          <w:rFonts w:ascii="Arial" w:hAnsi="Arial" w:cs="Arial"/>
          <w:i/>
        </w:rPr>
        <w:t xml:space="preserve"> si kupují nové bydlení,“</w:t>
      </w:r>
      <w:r w:rsidRPr="00A75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dodala </w:t>
      </w:r>
      <w:r w:rsidRPr="00A7509B">
        <w:rPr>
          <w:rFonts w:ascii="Arial" w:hAnsi="Arial" w:cs="Arial"/>
        </w:rPr>
        <w:t>Tomášková.</w:t>
      </w:r>
      <w:r>
        <w:rPr>
          <w:rFonts w:ascii="Arial" w:hAnsi="Arial" w:cs="Arial"/>
        </w:rPr>
        <w:t xml:space="preserve"> Pro klienty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by se tak situace příliš zkomplikovat neměla.</w:t>
      </w:r>
    </w:p>
    <w:p w:rsidR="00F44EF4" w:rsidRPr="00A7509B" w:rsidRDefault="00F44EF4" w:rsidP="00F44EF4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42FC3" w:rsidRDefault="00142FC3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E799F" w:rsidRDefault="00DE799F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8566F" w:rsidRDefault="0098566F" w:rsidP="0040101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06CFF" w:rsidRDefault="00706CFF" w:rsidP="00401012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40101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40101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40101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40101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40101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40101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40101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4010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70" w:rsidRDefault="00264670" w:rsidP="00655B14">
      <w:pPr>
        <w:spacing w:after="0" w:line="240" w:lineRule="auto"/>
      </w:pPr>
      <w:r>
        <w:separator/>
      </w:r>
    </w:p>
  </w:endnote>
  <w:endnote w:type="continuationSeparator" w:id="0">
    <w:p w:rsidR="00264670" w:rsidRDefault="0026467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70" w:rsidRDefault="00264670" w:rsidP="00655B14">
      <w:pPr>
        <w:spacing w:after="0" w:line="240" w:lineRule="auto"/>
      </w:pPr>
      <w:r>
        <w:separator/>
      </w:r>
    </w:p>
  </w:footnote>
  <w:footnote w:type="continuationSeparator" w:id="0">
    <w:p w:rsidR="00264670" w:rsidRDefault="0026467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0ECABF9" wp14:editId="628E257B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029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0240B81A" wp14:editId="07E37DD0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4760A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36C89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1B68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C89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4A1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407B"/>
    <w:rsid w:val="000D67EC"/>
    <w:rsid w:val="000D6F5E"/>
    <w:rsid w:val="000D7AAD"/>
    <w:rsid w:val="000F76D9"/>
    <w:rsid w:val="000F7DD9"/>
    <w:rsid w:val="0010798A"/>
    <w:rsid w:val="0011263C"/>
    <w:rsid w:val="001211B2"/>
    <w:rsid w:val="00121416"/>
    <w:rsid w:val="001227D1"/>
    <w:rsid w:val="0012325C"/>
    <w:rsid w:val="001254FE"/>
    <w:rsid w:val="00126B39"/>
    <w:rsid w:val="00134324"/>
    <w:rsid w:val="00136B59"/>
    <w:rsid w:val="00136B94"/>
    <w:rsid w:val="00136DD9"/>
    <w:rsid w:val="001374C1"/>
    <w:rsid w:val="0014189D"/>
    <w:rsid w:val="00142FC3"/>
    <w:rsid w:val="00145D58"/>
    <w:rsid w:val="00147D32"/>
    <w:rsid w:val="0015165B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0415"/>
    <w:rsid w:val="001C66CF"/>
    <w:rsid w:val="001C67C0"/>
    <w:rsid w:val="001C6D66"/>
    <w:rsid w:val="001D35BC"/>
    <w:rsid w:val="001D41E4"/>
    <w:rsid w:val="001D7759"/>
    <w:rsid w:val="001D7DB4"/>
    <w:rsid w:val="001E14EF"/>
    <w:rsid w:val="001E1516"/>
    <w:rsid w:val="001E15A7"/>
    <w:rsid w:val="001E1A62"/>
    <w:rsid w:val="001E447B"/>
    <w:rsid w:val="001E56BE"/>
    <w:rsid w:val="001E5C33"/>
    <w:rsid w:val="001F0C11"/>
    <w:rsid w:val="001F1A80"/>
    <w:rsid w:val="001F3B75"/>
    <w:rsid w:val="001F5AAF"/>
    <w:rsid w:val="001F5F25"/>
    <w:rsid w:val="001F75D0"/>
    <w:rsid w:val="001F7B64"/>
    <w:rsid w:val="002024C8"/>
    <w:rsid w:val="002039FC"/>
    <w:rsid w:val="00205CE6"/>
    <w:rsid w:val="00206686"/>
    <w:rsid w:val="002112DE"/>
    <w:rsid w:val="0021271C"/>
    <w:rsid w:val="00214B9A"/>
    <w:rsid w:val="0022029B"/>
    <w:rsid w:val="002321C8"/>
    <w:rsid w:val="0023342D"/>
    <w:rsid w:val="00234852"/>
    <w:rsid w:val="00237A96"/>
    <w:rsid w:val="002442D9"/>
    <w:rsid w:val="00244FB9"/>
    <w:rsid w:val="00253B9A"/>
    <w:rsid w:val="002543C3"/>
    <w:rsid w:val="00255584"/>
    <w:rsid w:val="00261752"/>
    <w:rsid w:val="00264670"/>
    <w:rsid w:val="00265E94"/>
    <w:rsid w:val="00272534"/>
    <w:rsid w:val="002769EC"/>
    <w:rsid w:val="002802F5"/>
    <w:rsid w:val="00282554"/>
    <w:rsid w:val="00283463"/>
    <w:rsid w:val="0028544B"/>
    <w:rsid w:val="002910B2"/>
    <w:rsid w:val="002961A0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19E0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2F73BE"/>
    <w:rsid w:val="00310056"/>
    <w:rsid w:val="0031135F"/>
    <w:rsid w:val="003115D8"/>
    <w:rsid w:val="0031568A"/>
    <w:rsid w:val="00316A88"/>
    <w:rsid w:val="00320B75"/>
    <w:rsid w:val="00322491"/>
    <w:rsid w:val="00333809"/>
    <w:rsid w:val="003366AE"/>
    <w:rsid w:val="0034284D"/>
    <w:rsid w:val="00343FF8"/>
    <w:rsid w:val="00344915"/>
    <w:rsid w:val="00347F01"/>
    <w:rsid w:val="00351397"/>
    <w:rsid w:val="003518E2"/>
    <w:rsid w:val="00354906"/>
    <w:rsid w:val="00356DEF"/>
    <w:rsid w:val="00360FC5"/>
    <w:rsid w:val="003629D5"/>
    <w:rsid w:val="00364E18"/>
    <w:rsid w:val="0036643F"/>
    <w:rsid w:val="003674FA"/>
    <w:rsid w:val="0036769C"/>
    <w:rsid w:val="003722A2"/>
    <w:rsid w:val="003723D8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559D"/>
    <w:rsid w:val="003A74FB"/>
    <w:rsid w:val="003B0A7A"/>
    <w:rsid w:val="003B0B39"/>
    <w:rsid w:val="003B20BE"/>
    <w:rsid w:val="003B2626"/>
    <w:rsid w:val="003B669D"/>
    <w:rsid w:val="003C4264"/>
    <w:rsid w:val="003E131F"/>
    <w:rsid w:val="003E1A52"/>
    <w:rsid w:val="003E1AF9"/>
    <w:rsid w:val="003E25B5"/>
    <w:rsid w:val="003E3DDE"/>
    <w:rsid w:val="003E3EEE"/>
    <w:rsid w:val="003E4FDA"/>
    <w:rsid w:val="003E5DEB"/>
    <w:rsid w:val="003E75A1"/>
    <w:rsid w:val="003F1BE3"/>
    <w:rsid w:val="003F304F"/>
    <w:rsid w:val="003F4A3F"/>
    <w:rsid w:val="00401012"/>
    <w:rsid w:val="00404882"/>
    <w:rsid w:val="00404AE7"/>
    <w:rsid w:val="004065D6"/>
    <w:rsid w:val="004076A8"/>
    <w:rsid w:val="00407A22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0F66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34A4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C7678"/>
    <w:rsid w:val="004D14BF"/>
    <w:rsid w:val="004D230C"/>
    <w:rsid w:val="004D3EFE"/>
    <w:rsid w:val="004D6F71"/>
    <w:rsid w:val="004D718C"/>
    <w:rsid w:val="004E1C9F"/>
    <w:rsid w:val="004E48FD"/>
    <w:rsid w:val="004E53EE"/>
    <w:rsid w:val="004F2809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3467"/>
    <w:rsid w:val="00534219"/>
    <w:rsid w:val="00536342"/>
    <w:rsid w:val="005405D8"/>
    <w:rsid w:val="00541CA7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38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67E"/>
    <w:rsid w:val="00623B37"/>
    <w:rsid w:val="00624443"/>
    <w:rsid w:val="006247A1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6F7B8E"/>
    <w:rsid w:val="00700072"/>
    <w:rsid w:val="007012BA"/>
    <w:rsid w:val="00702863"/>
    <w:rsid w:val="00702B5B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075D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6D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10BF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5E15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1E70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0C05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009"/>
    <w:rsid w:val="0095787C"/>
    <w:rsid w:val="00961E63"/>
    <w:rsid w:val="00964433"/>
    <w:rsid w:val="00966597"/>
    <w:rsid w:val="00967003"/>
    <w:rsid w:val="00967406"/>
    <w:rsid w:val="00974F08"/>
    <w:rsid w:val="009769C6"/>
    <w:rsid w:val="009800E6"/>
    <w:rsid w:val="00980CE7"/>
    <w:rsid w:val="00983964"/>
    <w:rsid w:val="009851CB"/>
    <w:rsid w:val="0098566F"/>
    <w:rsid w:val="00987340"/>
    <w:rsid w:val="009A6C2C"/>
    <w:rsid w:val="009B0137"/>
    <w:rsid w:val="009B059D"/>
    <w:rsid w:val="009B2866"/>
    <w:rsid w:val="009C1B56"/>
    <w:rsid w:val="009C2B16"/>
    <w:rsid w:val="009C59D8"/>
    <w:rsid w:val="009C5FFA"/>
    <w:rsid w:val="009C7293"/>
    <w:rsid w:val="009D1179"/>
    <w:rsid w:val="009D288E"/>
    <w:rsid w:val="009D40BE"/>
    <w:rsid w:val="009D64BB"/>
    <w:rsid w:val="009D7C5B"/>
    <w:rsid w:val="009E03DD"/>
    <w:rsid w:val="009E273B"/>
    <w:rsid w:val="009E60FC"/>
    <w:rsid w:val="009F09FC"/>
    <w:rsid w:val="009F1CF0"/>
    <w:rsid w:val="009F60C1"/>
    <w:rsid w:val="00A00BBB"/>
    <w:rsid w:val="00A01A93"/>
    <w:rsid w:val="00A148D8"/>
    <w:rsid w:val="00A17A92"/>
    <w:rsid w:val="00A2759E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64"/>
    <w:rsid w:val="00A742F4"/>
    <w:rsid w:val="00A7509B"/>
    <w:rsid w:val="00A75761"/>
    <w:rsid w:val="00A768B2"/>
    <w:rsid w:val="00A81BE1"/>
    <w:rsid w:val="00A81FD7"/>
    <w:rsid w:val="00A829ED"/>
    <w:rsid w:val="00A8573C"/>
    <w:rsid w:val="00A92E0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D61A6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2CCD"/>
    <w:rsid w:val="00B238D8"/>
    <w:rsid w:val="00B25DBE"/>
    <w:rsid w:val="00B27B22"/>
    <w:rsid w:val="00B27D90"/>
    <w:rsid w:val="00B3135D"/>
    <w:rsid w:val="00B377B2"/>
    <w:rsid w:val="00B41391"/>
    <w:rsid w:val="00B4172D"/>
    <w:rsid w:val="00B4760A"/>
    <w:rsid w:val="00B538CF"/>
    <w:rsid w:val="00B55313"/>
    <w:rsid w:val="00B559AD"/>
    <w:rsid w:val="00B572FC"/>
    <w:rsid w:val="00B60727"/>
    <w:rsid w:val="00B619C7"/>
    <w:rsid w:val="00B62E0E"/>
    <w:rsid w:val="00B67D94"/>
    <w:rsid w:val="00B700EF"/>
    <w:rsid w:val="00B7066A"/>
    <w:rsid w:val="00B71542"/>
    <w:rsid w:val="00B74A60"/>
    <w:rsid w:val="00B75BE8"/>
    <w:rsid w:val="00B824C4"/>
    <w:rsid w:val="00B85D8C"/>
    <w:rsid w:val="00B9120F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3406"/>
    <w:rsid w:val="00BB4211"/>
    <w:rsid w:val="00BB55B5"/>
    <w:rsid w:val="00BB7952"/>
    <w:rsid w:val="00BB7E91"/>
    <w:rsid w:val="00BC0DAD"/>
    <w:rsid w:val="00BC1FBC"/>
    <w:rsid w:val="00BC303B"/>
    <w:rsid w:val="00BC548E"/>
    <w:rsid w:val="00BC632B"/>
    <w:rsid w:val="00BE0CE4"/>
    <w:rsid w:val="00BE3089"/>
    <w:rsid w:val="00BE3A45"/>
    <w:rsid w:val="00BE46CF"/>
    <w:rsid w:val="00BE4D4B"/>
    <w:rsid w:val="00BE4E6E"/>
    <w:rsid w:val="00BE56DB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B0A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A63"/>
    <w:rsid w:val="00C76C5C"/>
    <w:rsid w:val="00C802DC"/>
    <w:rsid w:val="00C80C4D"/>
    <w:rsid w:val="00C812FA"/>
    <w:rsid w:val="00C822C1"/>
    <w:rsid w:val="00C828CD"/>
    <w:rsid w:val="00C8572E"/>
    <w:rsid w:val="00C87246"/>
    <w:rsid w:val="00C917CF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3E0A"/>
    <w:rsid w:val="00CC5301"/>
    <w:rsid w:val="00CC7D74"/>
    <w:rsid w:val="00CD1466"/>
    <w:rsid w:val="00CD1F47"/>
    <w:rsid w:val="00CD26E1"/>
    <w:rsid w:val="00CD42C6"/>
    <w:rsid w:val="00CD4FA8"/>
    <w:rsid w:val="00CD6B89"/>
    <w:rsid w:val="00CD705B"/>
    <w:rsid w:val="00CE26CB"/>
    <w:rsid w:val="00CE2CDA"/>
    <w:rsid w:val="00CE467F"/>
    <w:rsid w:val="00CE7DA1"/>
    <w:rsid w:val="00CF181B"/>
    <w:rsid w:val="00CF27B2"/>
    <w:rsid w:val="00CF65A3"/>
    <w:rsid w:val="00D00528"/>
    <w:rsid w:val="00D05C00"/>
    <w:rsid w:val="00D11C3C"/>
    <w:rsid w:val="00D1309B"/>
    <w:rsid w:val="00D141D7"/>
    <w:rsid w:val="00D15A19"/>
    <w:rsid w:val="00D175CF"/>
    <w:rsid w:val="00D2049B"/>
    <w:rsid w:val="00D2266B"/>
    <w:rsid w:val="00D2273E"/>
    <w:rsid w:val="00D24422"/>
    <w:rsid w:val="00D302F0"/>
    <w:rsid w:val="00D306C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185D"/>
    <w:rsid w:val="00D57F07"/>
    <w:rsid w:val="00D61620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193D"/>
    <w:rsid w:val="00DC48E0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99F"/>
    <w:rsid w:val="00DE7F8E"/>
    <w:rsid w:val="00DF0757"/>
    <w:rsid w:val="00DF09F9"/>
    <w:rsid w:val="00DF157C"/>
    <w:rsid w:val="00DF261B"/>
    <w:rsid w:val="00DF3E5A"/>
    <w:rsid w:val="00DF4E13"/>
    <w:rsid w:val="00DF77B2"/>
    <w:rsid w:val="00DF7FC6"/>
    <w:rsid w:val="00E033EE"/>
    <w:rsid w:val="00E03EA9"/>
    <w:rsid w:val="00E046AB"/>
    <w:rsid w:val="00E070FB"/>
    <w:rsid w:val="00E07F03"/>
    <w:rsid w:val="00E10CF1"/>
    <w:rsid w:val="00E129D7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35FE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06A2"/>
    <w:rsid w:val="00E9388E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EF7EF0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44EF4"/>
    <w:rsid w:val="00F619C8"/>
    <w:rsid w:val="00F64DA9"/>
    <w:rsid w:val="00F663C2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1918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083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3A6655"/>
  <w15:docId w15:val="{2EDE112B-EACE-48AA-9137-CF8DE36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Svtlstnovn">
    <w:name w:val="Light Shading"/>
    <w:basedOn w:val="Normlntabulka"/>
    <w:uiPriority w:val="60"/>
    <w:rsid w:val="001C04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2zvraznn3">
    <w:name w:val="Medium Shading 2 Accent 3"/>
    <w:basedOn w:val="Normlntabulka"/>
    <w:uiPriority w:val="64"/>
    <w:rsid w:val="001C04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23A2-62CA-4F95-B559-D004344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4</cp:revision>
  <cp:lastPrinted>2017-03-20T08:27:00Z</cp:lastPrinted>
  <dcterms:created xsi:type="dcterms:W3CDTF">2017-03-29T10:56:00Z</dcterms:created>
  <dcterms:modified xsi:type="dcterms:W3CDTF">2017-03-30T07:20:00Z</dcterms:modified>
</cp:coreProperties>
</file>