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EA9" w:rsidRPr="00A43826" w:rsidRDefault="004F3CC2" w:rsidP="001E0EA9">
      <w:pPr>
        <w:spacing w:after="0"/>
        <w:rPr>
          <w:rFonts w:ascii="Arial Black" w:hAnsi="Arial Black"/>
          <w:color w:val="000000" w:themeColor="text1"/>
          <w:sz w:val="28"/>
          <w:szCs w:val="28"/>
        </w:rPr>
      </w:pPr>
      <w:r>
        <w:rPr>
          <w:rFonts w:ascii="Arial Black" w:hAnsi="Arial Black"/>
          <w:color w:val="000000" w:themeColor="text1"/>
          <w:sz w:val="28"/>
          <w:szCs w:val="28"/>
        </w:rPr>
        <w:t>Velké rodinné byty se zmenšují, naopak malé byty rostou</w:t>
      </w:r>
    </w:p>
    <w:p w:rsidR="001E0EA9" w:rsidRPr="00A43826" w:rsidRDefault="001E0EA9" w:rsidP="001E0EA9">
      <w:pPr>
        <w:spacing w:after="0"/>
        <w:rPr>
          <w:rFonts w:ascii="Arial Black" w:hAnsi="Arial Black"/>
          <w:color w:val="000000" w:themeColor="text1"/>
          <w:sz w:val="18"/>
          <w:szCs w:val="18"/>
        </w:rPr>
      </w:pPr>
    </w:p>
    <w:p w:rsidR="008B3528" w:rsidRDefault="001E0EA9" w:rsidP="00344642">
      <w:pPr>
        <w:spacing w:after="0"/>
        <w:contextualSpacing/>
        <w:jc w:val="both"/>
        <w:rPr>
          <w:rFonts w:ascii="Arial" w:hAnsi="Arial" w:cs="Arial"/>
          <w:b/>
          <w:color w:val="000000" w:themeColor="text1"/>
          <w:lang w:eastAsia="cs-CZ"/>
        </w:rPr>
      </w:pPr>
      <w:r w:rsidRPr="00A43826">
        <w:rPr>
          <w:rFonts w:ascii="Arial" w:hAnsi="Arial" w:cs="Arial"/>
          <w:i/>
          <w:lang w:eastAsia="cs-CZ"/>
        </w:rPr>
        <w:t xml:space="preserve">Praha, </w:t>
      </w:r>
      <w:r w:rsidR="00242818">
        <w:rPr>
          <w:rFonts w:ascii="Arial" w:hAnsi="Arial" w:cs="Arial"/>
          <w:i/>
          <w:lang w:eastAsia="cs-CZ"/>
        </w:rPr>
        <w:t>16</w:t>
      </w:r>
      <w:r w:rsidR="00344642">
        <w:rPr>
          <w:rFonts w:ascii="Arial" w:hAnsi="Arial" w:cs="Arial"/>
          <w:i/>
          <w:lang w:eastAsia="cs-CZ"/>
        </w:rPr>
        <w:t>.</w:t>
      </w:r>
      <w:r w:rsidRPr="00A43826">
        <w:rPr>
          <w:rFonts w:ascii="Arial" w:hAnsi="Arial" w:cs="Arial"/>
          <w:i/>
          <w:lang w:eastAsia="cs-CZ"/>
        </w:rPr>
        <w:t xml:space="preserve"> </w:t>
      </w:r>
      <w:r w:rsidR="00242818">
        <w:rPr>
          <w:rFonts w:ascii="Arial" w:hAnsi="Arial" w:cs="Arial"/>
          <w:i/>
          <w:lang w:eastAsia="cs-CZ"/>
        </w:rPr>
        <w:t>3</w:t>
      </w:r>
      <w:r w:rsidRPr="00A43826">
        <w:rPr>
          <w:rFonts w:ascii="Arial" w:hAnsi="Arial" w:cs="Arial"/>
          <w:i/>
          <w:lang w:eastAsia="cs-CZ"/>
        </w:rPr>
        <w:t>. 201</w:t>
      </w:r>
      <w:r w:rsidR="000919F8" w:rsidRPr="00A43826">
        <w:rPr>
          <w:rFonts w:ascii="Arial" w:hAnsi="Arial" w:cs="Arial"/>
          <w:i/>
          <w:lang w:eastAsia="cs-CZ"/>
        </w:rPr>
        <w:t>7</w:t>
      </w:r>
      <w:r w:rsidRPr="00A43826">
        <w:rPr>
          <w:rFonts w:ascii="Arial" w:hAnsi="Arial" w:cs="Arial"/>
          <w:i/>
          <w:color w:val="000000" w:themeColor="text1"/>
          <w:lang w:eastAsia="cs-CZ"/>
        </w:rPr>
        <w:t xml:space="preserve"> – </w:t>
      </w:r>
      <w:r w:rsidR="000142A6">
        <w:rPr>
          <w:rFonts w:ascii="Arial" w:hAnsi="Arial" w:cs="Arial"/>
          <w:b/>
          <w:color w:val="000000" w:themeColor="text1"/>
          <w:lang w:eastAsia="cs-CZ"/>
        </w:rPr>
        <w:t xml:space="preserve">Velké rodinné byty </w:t>
      </w:r>
      <w:r w:rsidR="00FE33D9">
        <w:rPr>
          <w:rFonts w:ascii="Arial" w:hAnsi="Arial" w:cs="Arial"/>
          <w:b/>
          <w:color w:val="000000" w:themeColor="text1"/>
          <w:lang w:eastAsia="cs-CZ"/>
        </w:rPr>
        <w:t xml:space="preserve">středního segmentu </w:t>
      </w:r>
      <w:r w:rsidR="000142A6">
        <w:rPr>
          <w:rFonts w:ascii="Arial" w:hAnsi="Arial" w:cs="Arial"/>
          <w:b/>
          <w:color w:val="000000" w:themeColor="text1"/>
          <w:lang w:eastAsia="cs-CZ"/>
        </w:rPr>
        <w:t>se v posledních letech zmenšují</w:t>
      </w:r>
      <w:r w:rsidR="00123839">
        <w:rPr>
          <w:rFonts w:ascii="Arial" w:hAnsi="Arial" w:cs="Arial"/>
          <w:b/>
          <w:color w:val="000000" w:themeColor="text1"/>
          <w:lang w:eastAsia="cs-CZ"/>
        </w:rPr>
        <w:t>. N</w:t>
      </w:r>
      <w:r w:rsidR="000142A6">
        <w:rPr>
          <w:rFonts w:ascii="Arial" w:hAnsi="Arial" w:cs="Arial"/>
          <w:b/>
          <w:color w:val="000000" w:themeColor="text1"/>
          <w:lang w:eastAsia="cs-CZ"/>
        </w:rPr>
        <w:t xml:space="preserve">aopak malé byty jsou čím dál tím větší. </w:t>
      </w:r>
      <w:r w:rsidR="00525B64">
        <w:rPr>
          <w:rFonts w:ascii="Arial" w:hAnsi="Arial" w:cs="Arial"/>
          <w:b/>
          <w:color w:val="000000" w:themeColor="text1"/>
          <w:lang w:eastAsia="cs-CZ"/>
        </w:rPr>
        <w:t xml:space="preserve">Vyplývá to ze statistik společnosti </w:t>
      </w:r>
      <w:proofErr w:type="spellStart"/>
      <w:r w:rsidR="00525B64">
        <w:rPr>
          <w:rFonts w:ascii="Arial" w:hAnsi="Arial" w:cs="Arial"/>
          <w:b/>
          <w:color w:val="000000" w:themeColor="text1"/>
          <w:lang w:eastAsia="cs-CZ"/>
        </w:rPr>
        <w:t>Central</w:t>
      </w:r>
      <w:proofErr w:type="spellEnd"/>
      <w:r w:rsidR="00525B64">
        <w:rPr>
          <w:rFonts w:ascii="Arial" w:hAnsi="Arial" w:cs="Arial"/>
          <w:b/>
          <w:color w:val="000000" w:themeColor="text1"/>
          <w:lang w:eastAsia="cs-CZ"/>
        </w:rPr>
        <w:t xml:space="preserve"> Group, která loni prodala v Praze 1243 bytů a na trhu se tak podílela 20 procenty. </w:t>
      </w:r>
    </w:p>
    <w:p w:rsidR="008B3528" w:rsidRDefault="008B3528" w:rsidP="00344642">
      <w:pPr>
        <w:spacing w:after="0"/>
        <w:contextualSpacing/>
        <w:jc w:val="both"/>
        <w:rPr>
          <w:rFonts w:ascii="Arial" w:hAnsi="Arial" w:cs="Arial"/>
          <w:b/>
          <w:color w:val="000000" w:themeColor="text1"/>
          <w:lang w:eastAsia="cs-CZ"/>
        </w:rPr>
      </w:pPr>
    </w:p>
    <w:p w:rsidR="00525B64" w:rsidRPr="008B3528" w:rsidRDefault="009A0FEB" w:rsidP="00344642">
      <w:pPr>
        <w:spacing w:after="0"/>
        <w:contextualSpacing/>
        <w:jc w:val="both"/>
        <w:rPr>
          <w:rFonts w:ascii="Arial" w:hAnsi="Arial" w:cs="Arial"/>
          <w:color w:val="000000" w:themeColor="text1"/>
          <w:lang w:eastAsia="cs-CZ"/>
        </w:rPr>
      </w:pPr>
      <w:r>
        <w:rPr>
          <w:rFonts w:ascii="Arial" w:hAnsi="Arial" w:cs="Arial"/>
          <w:color w:val="000000" w:themeColor="text1"/>
          <w:lang w:eastAsia="cs-CZ"/>
        </w:rPr>
        <w:t xml:space="preserve">Za trendem </w:t>
      </w:r>
      <w:r w:rsidR="00525B64" w:rsidRPr="008B3528">
        <w:rPr>
          <w:rFonts w:ascii="Arial" w:hAnsi="Arial" w:cs="Arial"/>
          <w:color w:val="000000" w:themeColor="text1"/>
          <w:lang w:eastAsia="cs-CZ"/>
        </w:rPr>
        <w:t>zmenšování velkých bytů j</w:t>
      </w:r>
      <w:r>
        <w:rPr>
          <w:rFonts w:ascii="Arial" w:hAnsi="Arial" w:cs="Arial"/>
          <w:color w:val="000000" w:themeColor="text1"/>
          <w:lang w:eastAsia="cs-CZ"/>
        </w:rPr>
        <w:t>sou rostoucí ceny na trhu</w:t>
      </w:r>
      <w:r w:rsidR="00525B64" w:rsidRPr="008B3528">
        <w:rPr>
          <w:rFonts w:ascii="Arial" w:hAnsi="Arial" w:cs="Arial"/>
          <w:color w:val="000000" w:themeColor="text1"/>
          <w:lang w:eastAsia="cs-CZ"/>
        </w:rPr>
        <w:t xml:space="preserve">. Velké byty developeři obvykle umisťují do horních podlaží domů, kde jsou vyšší ceny. </w:t>
      </w:r>
      <w:r w:rsidRPr="009A0FEB">
        <w:rPr>
          <w:rFonts w:ascii="Arial" w:hAnsi="Arial" w:cs="Arial"/>
          <w:color w:val="000000" w:themeColor="text1"/>
          <w:lang w:eastAsia="cs-CZ"/>
        </w:rPr>
        <w:t>J</w:t>
      </w:r>
      <w:r w:rsidR="00525B64" w:rsidRPr="009A0FEB">
        <w:rPr>
          <w:rFonts w:ascii="Arial" w:hAnsi="Arial" w:cs="Arial"/>
          <w:color w:val="000000" w:themeColor="text1"/>
          <w:lang w:eastAsia="cs-CZ"/>
        </w:rPr>
        <w:t>sou tak pomě</w:t>
      </w:r>
      <w:r w:rsidR="00904068" w:rsidRPr="009A0FEB">
        <w:rPr>
          <w:rFonts w:ascii="Arial" w:hAnsi="Arial" w:cs="Arial"/>
          <w:color w:val="000000" w:themeColor="text1"/>
          <w:lang w:eastAsia="cs-CZ"/>
        </w:rPr>
        <w:t>rně nákladné a každý metr navíc</w:t>
      </w:r>
      <w:r w:rsidR="00525B64" w:rsidRPr="009A0FEB">
        <w:rPr>
          <w:rFonts w:ascii="Arial" w:hAnsi="Arial" w:cs="Arial"/>
          <w:color w:val="000000" w:themeColor="text1"/>
          <w:lang w:eastAsia="cs-CZ"/>
        </w:rPr>
        <w:t xml:space="preserve"> výrazně zvyšuje cenu a dostupnost takového bytu.</w:t>
      </w:r>
      <w:r w:rsidR="00525B64" w:rsidRPr="00103E92">
        <w:rPr>
          <w:rFonts w:ascii="Arial" w:hAnsi="Arial" w:cs="Arial"/>
          <w:i/>
          <w:color w:val="000000" w:themeColor="text1"/>
          <w:lang w:eastAsia="cs-CZ"/>
        </w:rPr>
        <w:t xml:space="preserve"> </w:t>
      </w:r>
      <w:r>
        <w:rPr>
          <w:rFonts w:ascii="Arial" w:hAnsi="Arial" w:cs="Arial"/>
          <w:i/>
          <w:color w:val="000000" w:themeColor="text1"/>
          <w:lang w:eastAsia="cs-CZ"/>
        </w:rPr>
        <w:t>„</w:t>
      </w:r>
      <w:r w:rsidR="00525B64" w:rsidRPr="00103E92">
        <w:rPr>
          <w:rFonts w:ascii="Arial" w:hAnsi="Arial" w:cs="Arial"/>
          <w:i/>
          <w:color w:val="000000" w:themeColor="text1"/>
          <w:lang w:eastAsia="cs-CZ"/>
        </w:rPr>
        <w:t>Naopak u menších</w:t>
      </w:r>
      <w:r>
        <w:rPr>
          <w:rFonts w:ascii="Arial" w:hAnsi="Arial" w:cs="Arial"/>
          <w:i/>
          <w:color w:val="000000" w:themeColor="text1"/>
          <w:lang w:eastAsia="cs-CZ"/>
        </w:rPr>
        <w:t xml:space="preserve"> bytů</w:t>
      </w:r>
      <w:r w:rsidR="00525B64" w:rsidRPr="00103E92">
        <w:rPr>
          <w:rFonts w:ascii="Arial" w:hAnsi="Arial" w:cs="Arial"/>
          <w:i/>
          <w:color w:val="000000" w:themeColor="text1"/>
          <w:lang w:eastAsia="cs-CZ"/>
        </w:rPr>
        <w:t xml:space="preserve">, kde si to kupující mohou vzhledem k celkově nižší ceně dovolit, se </w:t>
      </w:r>
      <w:r w:rsidR="00BC11F4">
        <w:rPr>
          <w:rFonts w:ascii="Arial" w:hAnsi="Arial" w:cs="Arial"/>
          <w:i/>
          <w:color w:val="000000" w:themeColor="text1"/>
          <w:lang w:eastAsia="cs-CZ"/>
        </w:rPr>
        <w:t xml:space="preserve">v posledních letech </w:t>
      </w:r>
      <w:r w:rsidR="00525B64" w:rsidRPr="00103E92">
        <w:rPr>
          <w:rFonts w:ascii="Arial" w:hAnsi="Arial" w:cs="Arial"/>
          <w:i/>
          <w:color w:val="000000" w:themeColor="text1"/>
          <w:lang w:eastAsia="cs-CZ"/>
        </w:rPr>
        <w:t xml:space="preserve">projevuje poptávka po větším prostoru a </w:t>
      </w:r>
      <w:r w:rsidR="008B3528" w:rsidRPr="00103E92">
        <w:rPr>
          <w:rFonts w:ascii="Arial" w:hAnsi="Arial" w:cs="Arial"/>
          <w:i/>
          <w:color w:val="000000" w:themeColor="text1"/>
          <w:lang w:eastAsia="cs-CZ"/>
        </w:rPr>
        <w:t>pohodlí</w:t>
      </w:r>
      <w:r w:rsidR="00103E92" w:rsidRPr="00103E92">
        <w:rPr>
          <w:rFonts w:ascii="Arial" w:hAnsi="Arial" w:cs="Arial"/>
          <w:i/>
          <w:color w:val="000000" w:themeColor="text1"/>
          <w:lang w:eastAsia="cs-CZ"/>
        </w:rPr>
        <w:t>,“</w:t>
      </w:r>
      <w:r w:rsidR="00103E92">
        <w:rPr>
          <w:rFonts w:ascii="Arial" w:hAnsi="Arial" w:cs="Arial"/>
          <w:color w:val="000000" w:themeColor="text1"/>
          <w:lang w:eastAsia="cs-CZ"/>
        </w:rPr>
        <w:t xml:space="preserve"> řekl</w:t>
      </w:r>
      <w:r w:rsidR="00977739">
        <w:rPr>
          <w:rFonts w:ascii="Arial" w:hAnsi="Arial" w:cs="Arial"/>
          <w:color w:val="000000" w:themeColor="text1"/>
          <w:lang w:eastAsia="cs-CZ"/>
        </w:rPr>
        <w:t xml:space="preserve">a výkonná ředitelka </w:t>
      </w:r>
      <w:proofErr w:type="spellStart"/>
      <w:r w:rsidR="00103E92">
        <w:rPr>
          <w:rFonts w:ascii="Arial" w:hAnsi="Arial" w:cs="Arial"/>
          <w:color w:val="000000" w:themeColor="text1"/>
          <w:lang w:eastAsia="cs-CZ"/>
        </w:rPr>
        <w:t>Central</w:t>
      </w:r>
      <w:proofErr w:type="spellEnd"/>
      <w:r w:rsidR="00103E92">
        <w:rPr>
          <w:rFonts w:ascii="Arial" w:hAnsi="Arial" w:cs="Arial"/>
          <w:color w:val="000000" w:themeColor="text1"/>
          <w:lang w:eastAsia="cs-CZ"/>
        </w:rPr>
        <w:t xml:space="preserve"> Group</w:t>
      </w:r>
      <w:r w:rsidR="00977739">
        <w:rPr>
          <w:rFonts w:ascii="Arial" w:hAnsi="Arial" w:cs="Arial"/>
          <w:color w:val="000000" w:themeColor="text1"/>
          <w:lang w:eastAsia="cs-CZ"/>
        </w:rPr>
        <w:t xml:space="preserve"> Michaela Tomášková</w:t>
      </w:r>
      <w:r w:rsidR="00103E92">
        <w:rPr>
          <w:rFonts w:ascii="Arial" w:hAnsi="Arial" w:cs="Arial"/>
          <w:color w:val="000000" w:themeColor="text1"/>
          <w:lang w:eastAsia="cs-CZ"/>
        </w:rPr>
        <w:t>.</w:t>
      </w:r>
    </w:p>
    <w:p w:rsidR="00525B64" w:rsidRDefault="00525B64" w:rsidP="00344642">
      <w:pPr>
        <w:spacing w:after="0"/>
        <w:contextualSpacing/>
        <w:jc w:val="both"/>
        <w:rPr>
          <w:rFonts w:ascii="Arial" w:hAnsi="Arial" w:cs="Arial"/>
          <w:b/>
          <w:color w:val="000000" w:themeColor="text1"/>
          <w:lang w:eastAsia="cs-CZ"/>
        </w:rPr>
      </w:pPr>
    </w:p>
    <w:p w:rsidR="001E0EA9" w:rsidRDefault="00525B64" w:rsidP="00344642">
      <w:pPr>
        <w:spacing w:after="0"/>
        <w:contextualSpacing/>
        <w:jc w:val="both"/>
        <w:rPr>
          <w:rFonts w:ascii="Arial" w:hAnsi="Arial" w:cs="Arial"/>
          <w:color w:val="000000" w:themeColor="text1"/>
          <w:lang w:eastAsia="cs-CZ"/>
        </w:rPr>
      </w:pPr>
      <w:r w:rsidRPr="008B3528">
        <w:rPr>
          <w:rFonts w:ascii="Arial" w:hAnsi="Arial" w:cs="Arial"/>
          <w:color w:val="000000" w:themeColor="text1"/>
          <w:lang w:eastAsia="cs-CZ"/>
        </w:rPr>
        <w:t xml:space="preserve">Zatímco ještě v roce 2010 byla průměrná velikost bytu 4+kk kolem 108 m2, dnes </w:t>
      </w:r>
      <w:r w:rsidR="00FE33D9">
        <w:rPr>
          <w:rFonts w:ascii="Arial" w:hAnsi="Arial" w:cs="Arial"/>
          <w:color w:val="000000" w:themeColor="text1"/>
          <w:lang w:eastAsia="cs-CZ"/>
        </w:rPr>
        <w:t xml:space="preserve">má </w:t>
      </w:r>
      <w:r w:rsidRPr="008B3528">
        <w:rPr>
          <w:rFonts w:ascii="Arial" w:hAnsi="Arial" w:cs="Arial"/>
          <w:color w:val="000000" w:themeColor="text1"/>
          <w:lang w:eastAsia="cs-CZ"/>
        </w:rPr>
        <w:t xml:space="preserve">byt stejné dispozice </w:t>
      </w:r>
      <w:r w:rsidR="00FE33D9">
        <w:rPr>
          <w:rFonts w:ascii="Arial" w:hAnsi="Arial" w:cs="Arial"/>
          <w:color w:val="000000" w:themeColor="text1"/>
          <w:lang w:eastAsia="cs-CZ"/>
        </w:rPr>
        <w:t xml:space="preserve">a stejné kategorie </w:t>
      </w:r>
      <w:r w:rsidRPr="008B3528">
        <w:rPr>
          <w:rFonts w:ascii="Arial" w:hAnsi="Arial" w:cs="Arial"/>
          <w:color w:val="000000" w:themeColor="text1"/>
          <w:lang w:eastAsia="cs-CZ"/>
        </w:rPr>
        <w:t>o devět m2 méně.</w:t>
      </w:r>
      <w:r w:rsidR="008B3528">
        <w:rPr>
          <w:rFonts w:ascii="Arial" w:hAnsi="Arial" w:cs="Arial"/>
          <w:color w:val="000000" w:themeColor="text1"/>
          <w:lang w:eastAsia="cs-CZ"/>
        </w:rPr>
        <w:t xml:space="preserve"> O něco méně se zmenšují také 3+kk, které preferují menší rodiny.</w:t>
      </w:r>
      <w:r w:rsidRPr="008B3528">
        <w:rPr>
          <w:rFonts w:ascii="Arial" w:hAnsi="Arial" w:cs="Arial"/>
          <w:color w:val="000000" w:themeColor="text1"/>
          <w:lang w:eastAsia="cs-CZ"/>
        </w:rPr>
        <w:t xml:space="preserve"> Naopak nejžádanější byty 2+kk byly v roce 2010 v průměru </w:t>
      </w:r>
      <w:r w:rsidR="008B3528">
        <w:rPr>
          <w:rFonts w:ascii="Arial" w:hAnsi="Arial" w:cs="Arial"/>
          <w:color w:val="000000" w:themeColor="text1"/>
          <w:lang w:eastAsia="cs-CZ"/>
        </w:rPr>
        <w:t>55</w:t>
      </w:r>
      <w:r w:rsidRPr="008B3528">
        <w:rPr>
          <w:rFonts w:ascii="Arial" w:hAnsi="Arial" w:cs="Arial"/>
          <w:color w:val="000000" w:themeColor="text1"/>
          <w:lang w:eastAsia="cs-CZ"/>
        </w:rPr>
        <w:t>metrové a dnes mají o šest m2 více.</w:t>
      </w:r>
      <w:r w:rsidR="008B3528">
        <w:rPr>
          <w:rFonts w:ascii="Arial" w:hAnsi="Arial" w:cs="Arial"/>
          <w:color w:val="000000" w:themeColor="text1"/>
          <w:lang w:eastAsia="cs-CZ"/>
        </w:rPr>
        <w:t xml:space="preserve"> Mírně roste také velikost bytů 1+kk.</w:t>
      </w:r>
    </w:p>
    <w:p w:rsidR="008B3528" w:rsidRDefault="008B3528" w:rsidP="00344642">
      <w:pPr>
        <w:spacing w:after="0"/>
        <w:contextualSpacing/>
        <w:jc w:val="both"/>
        <w:rPr>
          <w:rFonts w:ascii="Arial" w:hAnsi="Arial" w:cs="Arial"/>
          <w:color w:val="000000" w:themeColor="text1"/>
          <w:lang w:eastAsia="cs-CZ"/>
        </w:rPr>
      </w:pPr>
    </w:p>
    <w:p w:rsidR="00344642" w:rsidRDefault="00344642" w:rsidP="00344642">
      <w:pPr>
        <w:spacing w:after="0"/>
        <w:contextualSpacing/>
        <w:jc w:val="both"/>
        <w:rPr>
          <w:rFonts w:ascii="Arial" w:hAnsi="Arial" w:cs="Arial"/>
          <w:color w:val="000000" w:themeColor="text1"/>
          <w:lang w:eastAsia="cs-CZ"/>
        </w:rPr>
      </w:pPr>
    </w:p>
    <w:p w:rsidR="00344642" w:rsidRPr="00344642" w:rsidRDefault="00344642" w:rsidP="00344642">
      <w:pPr>
        <w:spacing w:after="0"/>
        <w:contextualSpacing/>
        <w:jc w:val="both"/>
        <w:rPr>
          <w:rFonts w:ascii="Arial" w:hAnsi="Arial" w:cs="Arial"/>
        </w:rPr>
      </w:pPr>
      <w:r>
        <w:rPr>
          <w:noProof/>
          <w:lang w:eastAsia="cs-CZ"/>
        </w:rPr>
        <w:drawing>
          <wp:inline distT="0" distB="0" distL="0" distR="0" wp14:anchorId="745744CF" wp14:editId="52F79CEE">
            <wp:extent cx="6124575" cy="3467100"/>
            <wp:effectExtent l="0" t="0" r="0" b="0"/>
            <wp:docPr id="3" name="Graf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E05FE" w:rsidRPr="00904068" w:rsidRDefault="008B3528" w:rsidP="008B3528">
      <w:pPr>
        <w:spacing w:after="0"/>
        <w:contextualSpacing/>
        <w:jc w:val="right"/>
        <w:rPr>
          <w:rFonts w:ascii="Arial" w:hAnsi="Arial" w:cs="Arial"/>
          <w:i/>
          <w:sz w:val="16"/>
          <w:szCs w:val="16"/>
          <w:lang w:eastAsia="cs-CZ"/>
        </w:rPr>
      </w:pPr>
      <w:r w:rsidRPr="00904068">
        <w:rPr>
          <w:rFonts w:ascii="Arial" w:hAnsi="Arial" w:cs="Arial"/>
          <w:i/>
          <w:sz w:val="16"/>
          <w:szCs w:val="16"/>
          <w:lang w:eastAsia="cs-CZ"/>
        </w:rPr>
        <w:t xml:space="preserve">Zdroj: </w:t>
      </w:r>
      <w:proofErr w:type="spellStart"/>
      <w:r w:rsidRPr="00904068">
        <w:rPr>
          <w:rFonts w:ascii="Arial" w:hAnsi="Arial" w:cs="Arial"/>
          <w:i/>
          <w:sz w:val="16"/>
          <w:szCs w:val="16"/>
          <w:lang w:eastAsia="cs-CZ"/>
        </w:rPr>
        <w:t>Central</w:t>
      </w:r>
      <w:proofErr w:type="spellEnd"/>
      <w:r w:rsidRPr="00904068">
        <w:rPr>
          <w:rFonts w:ascii="Arial" w:hAnsi="Arial" w:cs="Arial"/>
          <w:i/>
          <w:sz w:val="16"/>
          <w:szCs w:val="16"/>
          <w:lang w:eastAsia="cs-CZ"/>
        </w:rPr>
        <w:t xml:space="preserve"> Group</w:t>
      </w:r>
    </w:p>
    <w:p w:rsidR="008B3528" w:rsidRDefault="008B3528" w:rsidP="00C67C8C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8B3528" w:rsidRDefault="008B3528" w:rsidP="00C67C8C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5E05FE" w:rsidRPr="008B3528" w:rsidRDefault="008B3528" w:rsidP="00C67C8C">
      <w:pPr>
        <w:spacing w:after="0"/>
        <w:contextualSpacing/>
        <w:jc w:val="both"/>
        <w:rPr>
          <w:rFonts w:ascii="Arial" w:hAnsi="Arial" w:cs="Arial"/>
          <w:b/>
          <w:lang w:eastAsia="cs-CZ"/>
        </w:rPr>
      </w:pPr>
      <w:r w:rsidRPr="008B3528">
        <w:rPr>
          <w:rFonts w:ascii="Arial" w:hAnsi="Arial" w:cs="Arial"/>
          <w:b/>
          <w:lang w:eastAsia="cs-CZ"/>
        </w:rPr>
        <w:t>Praha v průměrné velikosti bytu za Evropou nezaostává</w:t>
      </w:r>
    </w:p>
    <w:p w:rsidR="008B3528" w:rsidRDefault="008B3528" w:rsidP="00C67C8C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8B3528" w:rsidRDefault="008B3528" w:rsidP="00C67C8C">
      <w:pPr>
        <w:spacing w:after="0"/>
        <w:contextualSpacing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 xml:space="preserve">Praha přesto v průměrné velikosti bytu za Evropou nezaostává. Větší průměrný byt, než jaký je v Praze, má jen Vídeň. Zatímco v Praze má podle společné analýzy </w:t>
      </w:r>
      <w:proofErr w:type="spellStart"/>
      <w:r>
        <w:rPr>
          <w:rFonts w:ascii="Arial" w:hAnsi="Arial" w:cs="Arial"/>
          <w:lang w:eastAsia="cs-CZ"/>
        </w:rPr>
        <w:t>Central</w:t>
      </w:r>
      <w:proofErr w:type="spellEnd"/>
      <w:r>
        <w:rPr>
          <w:rFonts w:ascii="Arial" w:hAnsi="Arial" w:cs="Arial"/>
          <w:lang w:eastAsia="cs-CZ"/>
        </w:rPr>
        <w:t xml:space="preserve"> Group</w:t>
      </w:r>
      <w:r w:rsidR="00BC11F4">
        <w:rPr>
          <w:rFonts w:ascii="Arial" w:hAnsi="Arial" w:cs="Arial"/>
          <w:lang w:eastAsia="cs-CZ"/>
        </w:rPr>
        <w:t xml:space="preserve">, </w:t>
      </w:r>
      <w:proofErr w:type="spellStart"/>
      <w:r w:rsidR="00BC11F4">
        <w:rPr>
          <w:rFonts w:ascii="Arial" w:hAnsi="Arial" w:cs="Arial"/>
          <w:lang w:eastAsia="cs-CZ"/>
        </w:rPr>
        <w:t>Trigemy</w:t>
      </w:r>
      <w:proofErr w:type="spellEnd"/>
      <w:r w:rsidR="00BC11F4">
        <w:rPr>
          <w:rFonts w:ascii="Arial" w:hAnsi="Arial" w:cs="Arial"/>
          <w:lang w:eastAsia="cs-CZ"/>
        </w:rPr>
        <w:t xml:space="preserve"> a </w:t>
      </w:r>
      <w:r w:rsidR="00BC11F4">
        <w:rPr>
          <w:rFonts w:ascii="Arial" w:hAnsi="Arial" w:cs="Arial"/>
          <w:lang w:eastAsia="cs-CZ"/>
        </w:rPr>
        <w:lastRenderedPageBreak/>
        <w:t>Skanska Reality s nadnárodní společností</w:t>
      </w:r>
      <w:r>
        <w:rPr>
          <w:rFonts w:ascii="Arial" w:hAnsi="Arial" w:cs="Arial"/>
          <w:lang w:eastAsia="cs-CZ"/>
        </w:rPr>
        <w:t xml:space="preserve"> KPMG </w:t>
      </w:r>
      <w:r w:rsidR="00F53E4C">
        <w:rPr>
          <w:rFonts w:ascii="Arial" w:hAnsi="Arial" w:cs="Arial"/>
          <w:lang w:eastAsia="cs-CZ"/>
        </w:rPr>
        <w:t xml:space="preserve">Česká republika </w:t>
      </w:r>
      <w:r>
        <w:rPr>
          <w:rFonts w:ascii="Arial" w:hAnsi="Arial" w:cs="Arial"/>
          <w:lang w:eastAsia="cs-CZ"/>
        </w:rPr>
        <w:t>průměrný byt 72 m2</w:t>
      </w:r>
      <w:r w:rsidR="00F53E4C">
        <w:rPr>
          <w:rFonts w:ascii="Arial" w:hAnsi="Arial" w:cs="Arial"/>
          <w:lang w:eastAsia="cs-CZ"/>
        </w:rPr>
        <w:t xml:space="preserve">. </w:t>
      </w:r>
      <w:r w:rsidR="00F53E4C" w:rsidRPr="00F53E4C">
        <w:rPr>
          <w:rFonts w:ascii="Arial" w:hAnsi="Arial" w:cs="Arial"/>
          <w:i/>
          <w:lang w:eastAsia="cs-CZ"/>
        </w:rPr>
        <w:t>„V</w:t>
      </w:r>
      <w:r w:rsidRPr="00F53E4C">
        <w:rPr>
          <w:rFonts w:ascii="Arial" w:hAnsi="Arial" w:cs="Arial"/>
          <w:i/>
          <w:lang w:eastAsia="cs-CZ"/>
        </w:rPr>
        <w:t>e Vídni je to 75 m2. Ale například v Mnichově je průměrný byt stejně velký, jako v</w:t>
      </w:r>
      <w:r w:rsidR="00BC11F4">
        <w:rPr>
          <w:rFonts w:ascii="Arial" w:hAnsi="Arial" w:cs="Arial"/>
          <w:i/>
          <w:lang w:eastAsia="cs-CZ"/>
        </w:rPr>
        <w:t> </w:t>
      </w:r>
      <w:r w:rsidRPr="00F53E4C">
        <w:rPr>
          <w:rFonts w:ascii="Arial" w:hAnsi="Arial" w:cs="Arial"/>
          <w:i/>
          <w:lang w:eastAsia="cs-CZ"/>
        </w:rPr>
        <w:t>Praze</w:t>
      </w:r>
      <w:r w:rsidR="00BC11F4">
        <w:rPr>
          <w:rFonts w:ascii="Arial" w:hAnsi="Arial" w:cs="Arial"/>
          <w:i/>
          <w:lang w:eastAsia="cs-CZ"/>
        </w:rPr>
        <w:t>. V</w:t>
      </w:r>
      <w:r w:rsidRPr="00F53E4C">
        <w:rPr>
          <w:rFonts w:ascii="Arial" w:hAnsi="Arial" w:cs="Arial"/>
          <w:i/>
          <w:lang w:eastAsia="cs-CZ"/>
        </w:rPr>
        <w:t> Berlíně a v Hamburku je dokonce menší</w:t>
      </w:r>
      <w:r w:rsidR="00F53E4C" w:rsidRPr="00F53E4C">
        <w:rPr>
          <w:rFonts w:ascii="Arial" w:hAnsi="Arial" w:cs="Arial"/>
          <w:i/>
          <w:lang w:eastAsia="cs-CZ"/>
        </w:rPr>
        <w:t>,“</w:t>
      </w:r>
      <w:r w:rsidR="00F53E4C">
        <w:rPr>
          <w:rFonts w:ascii="Arial" w:hAnsi="Arial" w:cs="Arial"/>
          <w:lang w:eastAsia="cs-CZ"/>
        </w:rPr>
        <w:t xml:space="preserve"> řekl</w:t>
      </w:r>
      <w:r w:rsidR="00103E92">
        <w:rPr>
          <w:rFonts w:ascii="Arial" w:hAnsi="Arial" w:cs="Arial"/>
          <w:lang w:eastAsia="cs-CZ"/>
        </w:rPr>
        <w:t xml:space="preserve"> partner KPMG </w:t>
      </w:r>
      <w:r w:rsidR="00F53E4C">
        <w:rPr>
          <w:rFonts w:ascii="Arial" w:hAnsi="Arial" w:cs="Arial"/>
          <w:lang w:eastAsia="cs-CZ"/>
        </w:rPr>
        <w:t xml:space="preserve">Česká republika odpovědný za sektor nemovitostí </w:t>
      </w:r>
      <w:r w:rsidR="00103E92">
        <w:rPr>
          <w:rFonts w:ascii="Arial" w:hAnsi="Arial" w:cs="Arial"/>
          <w:lang w:eastAsia="cs-CZ"/>
        </w:rPr>
        <w:t>Pavel Kliment.</w:t>
      </w:r>
    </w:p>
    <w:p w:rsidR="008B3528" w:rsidRDefault="008B3528" w:rsidP="00C67C8C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904068" w:rsidRPr="00904068" w:rsidRDefault="008B3528" w:rsidP="00904068">
      <w:pPr>
        <w:jc w:val="both"/>
        <w:rPr>
          <w:rFonts w:ascii="Arial" w:hAnsi="Arial" w:cs="Arial"/>
          <w:i/>
          <w:color w:val="000000" w:themeColor="text1"/>
          <w:sz w:val="16"/>
          <w:szCs w:val="16"/>
          <w:lang w:eastAsia="cs-CZ"/>
        </w:rPr>
      </w:pPr>
      <w:r>
        <w:rPr>
          <w:rFonts w:ascii="Arial" w:hAnsi="Arial" w:cs="Arial"/>
          <w:i/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6B9C82A5" wp14:editId="6E4CED9F">
            <wp:simplePos x="0" y="0"/>
            <wp:positionH relativeFrom="column">
              <wp:posOffset>3810</wp:posOffset>
            </wp:positionH>
            <wp:positionV relativeFrom="paragraph">
              <wp:posOffset>2540</wp:posOffset>
            </wp:positionV>
            <wp:extent cx="3248025" cy="2981325"/>
            <wp:effectExtent l="0" t="0" r="9525" b="9525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04068" w:rsidRPr="00191F39">
        <w:rPr>
          <w:rFonts w:ascii="Arial" w:hAnsi="Arial" w:cs="Arial"/>
          <w:i/>
          <w:sz w:val="16"/>
          <w:szCs w:val="16"/>
          <w:lang w:eastAsia="cs-CZ"/>
        </w:rPr>
        <w:t>Zd</w:t>
      </w:r>
      <w:r w:rsidR="00904068" w:rsidRPr="00904068">
        <w:rPr>
          <w:rFonts w:ascii="Arial" w:hAnsi="Arial" w:cs="Arial"/>
          <w:i/>
          <w:sz w:val="16"/>
          <w:szCs w:val="16"/>
          <w:lang w:eastAsia="cs-CZ"/>
        </w:rPr>
        <w:t>roj dat:</w:t>
      </w:r>
      <w:r w:rsidR="00904068" w:rsidRPr="00904068">
        <w:rPr>
          <w:rFonts w:ascii="Arial" w:hAnsi="Arial" w:cs="Arial"/>
          <w:i/>
          <w:color w:val="000000" w:themeColor="text1"/>
          <w:sz w:val="16"/>
          <w:szCs w:val="16"/>
        </w:rPr>
        <w:t xml:space="preserve"> a) Praha – H1 2016 analýza společností </w:t>
      </w:r>
      <w:proofErr w:type="spellStart"/>
      <w:r w:rsidR="00904068" w:rsidRPr="00904068">
        <w:rPr>
          <w:rFonts w:ascii="Arial" w:hAnsi="Arial" w:cs="Arial"/>
          <w:i/>
          <w:color w:val="000000" w:themeColor="text1"/>
          <w:sz w:val="16"/>
          <w:szCs w:val="16"/>
        </w:rPr>
        <w:t>Trigema</w:t>
      </w:r>
      <w:proofErr w:type="spellEnd"/>
      <w:r w:rsidR="00904068" w:rsidRPr="00904068">
        <w:rPr>
          <w:rFonts w:ascii="Arial" w:hAnsi="Arial" w:cs="Arial"/>
          <w:i/>
          <w:color w:val="000000" w:themeColor="text1"/>
          <w:sz w:val="16"/>
          <w:szCs w:val="16"/>
        </w:rPr>
        <w:t xml:space="preserve">, Skanska Reality a </w:t>
      </w:r>
      <w:proofErr w:type="spellStart"/>
      <w:r w:rsidR="00904068" w:rsidRPr="00904068">
        <w:rPr>
          <w:rFonts w:ascii="Arial" w:hAnsi="Arial" w:cs="Arial"/>
          <w:i/>
          <w:color w:val="000000" w:themeColor="text1"/>
          <w:sz w:val="16"/>
          <w:szCs w:val="16"/>
        </w:rPr>
        <w:t>Central</w:t>
      </w:r>
      <w:proofErr w:type="spellEnd"/>
      <w:r w:rsidR="00904068" w:rsidRPr="00904068">
        <w:rPr>
          <w:rFonts w:ascii="Arial" w:hAnsi="Arial" w:cs="Arial"/>
          <w:i/>
          <w:color w:val="000000" w:themeColor="text1"/>
          <w:sz w:val="16"/>
          <w:szCs w:val="16"/>
        </w:rPr>
        <w:t xml:space="preserve"> Group b) Bratislava – H1 2016, </w:t>
      </w:r>
      <w:proofErr w:type="spellStart"/>
      <w:r w:rsidR="00904068" w:rsidRPr="00904068">
        <w:rPr>
          <w:rFonts w:ascii="Arial" w:hAnsi="Arial" w:cs="Arial"/>
          <w:i/>
          <w:color w:val="000000" w:themeColor="text1"/>
          <w:sz w:val="16"/>
          <w:szCs w:val="16"/>
        </w:rPr>
        <w:t>Lexxus</w:t>
      </w:r>
      <w:proofErr w:type="spellEnd"/>
      <w:r w:rsidR="00904068" w:rsidRPr="00904068">
        <w:rPr>
          <w:rFonts w:ascii="Arial" w:hAnsi="Arial" w:cs="Arial"/>
          <w:i/>
          <w:color w:val="000000" w:themeColor="text1"/>
          <w:sz w:val="16"/>
          <w:szCs w:val="16"/>
        </w:rPr>
        <w:t xml:space="preserve"> Bratislava, </w:t>
      </w:r>
      <w:proofErr w:type="spellStart"/>
      <w:r w:rsidR="00904068" w:rsidRPr="00904068">
        <w:rPr>
          <w:rFonts w:ascii="Arial" w:hAnsi="Arial" w:cs="Arial"/>
          <w:i/>
          <w:color w:val="000000" w:themeColor="text1"/>
          <w:sz w:val="16"/>
          <w:szCs w:val="16"/>
        </w:rPr>
        <w:t>Bencont</w:t>
      </w:r>
      <w:proofErr w:type="spellEnd"/>
      <w:r w:rsidR="00904068" w:rsidRPr="00904068">
        <w:rPr>
          <w:rFonts w:ascii="Arial" w:hAnsi="Arial" w:cs="Arial"/>
          <w:i/>
          <w:color w:val="000000" w:themeColor="text1"/>
          <w:sz w:val="16"/>
          <w:szCs w:val="16"/>
        </w:rPr>
        <w:t xml:space="preserve"> c) Budapešť – H1 2016, Duna House d)Varšava – H1,  REAS </w:t>
      </w:r>
      <w:r w:rsidR="00904068" w:rsidRPr="00904068">
        <w:rPr>
          <w:rFonts w:ascii="Arial" w:hAnsi="Arial" w:cs="Arial"/>
          <w:i/>
          <w:color w:val="000000" w:themeColor="text1"/>
          <w:sz w:val="16"/>
          <w:szCs w:val="16"/>
          <w:lang w:val="pl-PL"/>
        </w:rPr>
        <w:t>| Residential Advisors, e)Vídeň – 2015, EHL / BUWOG f) Německá města – 2015 CBRE (průměrná velikost bytu), Jones Lang Lasalle, Landesbausparkassen (LBS)</w:t>
      </w:r>
      <w:r w:rsidR="00904068" w:rsidRPr="00904068">
        <w:rPr>
          <w:rFonts w:ascii="Arial" w:hAnsi="Arial" w:cs="Arial"/>
          <w:i/>
          <w:color w:val="000000" w:themeColor="text1"/>
          <w:sz w:val="16"/>
          <w:szCs w:val="16"/>
          <w:lang w:val="en-US"/>
        </w:rPr>
        <w:t>;  </w:t>
      </w:r>
      <w:r w:rsidR="00904068" w:rsidRPr="00904068">
        <w:rPr>
          <w:rFonts w:ascii="Arial" w:hAnsi="Arial" w:cs="Arial"/>
          <w:i/>
          <w:color w:val="000000" w:themeColor="text1"/>
          <w:sz w:val="16"/>
          <w:szCs w:val="16"/>
        </w:rPr>
        <w:t>Průměrná hrubá mzda – dle statistických úřadů daných zemí, u německých měst a Vídně – údaje rok 2015, ostatní H1 2016.</w:t>
      </w:r>
    </w:p>
    <w:p w:rsidR="008B3528" w:rsidRPr="008B3528" w:rsidRDefault="008B3528" w:rsidP="00C67C8C">
      <w:pPr>
        <w:spacing w:after="0"/>
        <w:contextualSpacing/>
        <w:jc w:val="both"/>
        <w:rPr>
          <w:rFonts w:ascii="Arial" w:hAnsi="Arial" w:cs="Arial"/>
          <w:i/>
          <w:sz w:val="20"/>
          <w:szCs w:val="20"/>
          <w:lang w:eastAsia="cs-CZ"/>
        </w:rPr>
      </w:pPr>
    </w:p>
    <w:p w:rsidR="00FE0C65" w:rsidRDefault="00FE0C65" w:rsidP="00E3524D">
      <w:pPr>
        <w:spacing w:after="0"/>
        <w:contextualSpacing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A45E8F" w:rsidRDefault="00A45E8F" w:rsidP="00E3524D">
      <w:pPr>
        <w:spacing w:after="0"/>
        <w:contextualSpacing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A45E8F" w:rsidRDefault="00A45E8F" w:rsidP="00E3524D">
      <w:pPr>
        <w:spacing w:after="0"/>
        <w:contextualSpacing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A45E8F" w:rsidRDefault="00A45E8F" w:rsidP="00E3524D">
      <w:pPr>
        <w:spacing w:after="0"/>
        <w:contextualSpacing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A45E8F" w:rsidRDefault="00A45E8F" w:rsidP="00E3524D">
      <w:pPr>
        <w:spacing w:after="0"/>
        <w:contextualSpacing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0854B7" w:rsidRDefault="000854B7" w:rsidP="00E3524D">
      <w:pPr>
        <w:spacing w:after="0"/>
        <w:contextualSpacing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5E05FE" w:rsidRDefault="005E05FE" w:rsidP="00E3524D">
      <w:pPr>
        <w:spacing w:after="0"/>
        <w:contextualSpacing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5E05FE" w:rsidRDefault="005E05FE" w:rsidP="00E3524D">
      <w:pPr>
        <w:spacing w:after="0"/>
        <w:contextualSpacing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5E05FE" w:rsidRDefault="005E05FE" w:rsidP="00E3524D">
      <w:pPr>
        <w:spacing w:after="0"/>
        <w:contextualSpacing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5E05FE" w:rsidRDefault="005E05FE" w:rsidP="00E3524D">
      <w:pPr>
        <w:spacing w:after="0"/>
        <w:contextualSpacing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5E05FE" w:rsidRDefault="005E05FE" w:rsidP="00E3524D">
      <w:pPr>
        <w:spacing w:after="0"/>
        <w:contextualSpacing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5E05FE" w:rsidRDefault="005E05FE" w:rsidP="00E3524D">
      <w:pPr>
        <w:spacing w:after="0"/>
        <w:contextualSpacing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5E05FE" w:rsidRDefault="009A0FEB" w:rsidP="00E3524D">
      <w:pPr>
        <w:spacing w:after="0"/>
        <w:contextualSpacing/>
        <w:jc w:val="both"/>
        <w:rPr>
          <w:rFonts w:ascii="Arial" w:hAnsi="Arial" w:cs="Arial"/>
          <w:color w:val="000000"/>
          <w:lang w:eastAsia="cs-CZ"/>
        </w:rPr>
      </w:pPr>
      <w:r>
        <w:rPr>
          <w:rFonts w:ascii="Arial" w:hAnsi="Arial" w:cs="Arial"/>
          <w:color w:val="000000"/>
          <w:lang w:eastAsia="cs-CZ"/>
        </w:rPr>
        <w:t>Trend postupného</w:t>
      </w:r>
      <w:r w:rsidR="007732DA" w:rsidRPr="007732DA">
        <w:rPr>
          <w:rFonts w:ascii="Arial" w:hAnsi="Arial" w:cs="Arial"/>
          <w:color w:val="000000"/>
          <w:lang w:eastAsia="cs-CZ"/>
        </w:rPr>
        <w:t xml:space="preserve"> zvětšování malých bytů</w:t>
      </w:r>
      <w:r>
        <w:rPr>
          <w:rFonts w:ascii="Arial" w:hAnsi="Arial" w:cs="Arial"/>
          <w:color w:val="000000"/>
          <w:lang w:eastAsia="cs-CZ"/>
        </w:rPr>
        <w:t xml:space="preserve"> a zmenšování velkých bytů </w:t>
      </w:r>
      <w:r w:rsidR="000F014E">
        <w:rPr>
          <w:rFonts w:ascii="Arial" w:hAnsi="Arial" w:cs="Arial"/>
          <w:color w:val="000000"/>
          <w:lang w:eastAsia="cs-CZ"/>
        </w:rPr>
        <w:t>je ovlivňován především cenovou úrovní na trhu nového bydlení</w:t>
      </w:r>
      <w:r>
        <w:rPr>
          <w:rFonts w:ascii="Arial" w:hAnsi="Arial" w:cs="Arial"/>
          <w:color w:val="000000"/>
          <w:lang w:eastAsia="cs-CZ"/>
        </w:rPr>
        <w:t>.</w:t>
      </w:r>
      <w:r w:rsidR="000F014E">
        <w:rPr>
          <w:rFonts w:ascii="Arial" w:hAnsi="Arial" w:cs="Arial"/>
          <w:color w:val="000000"/>
          <w:lang w:eastAsia="cs-CZ"/>
        </w:rPr>
        <w:t xml:space="preserve"> Dostupnost nových bytů </w:t>
      </w:r>
      <w:r w:rsidR="00307E62">
        <w:rPr>
          <w:rFonts w:ascii="Arial" w:hAnsi="Arial" w:cs="Arial"/>
          <w:color w:val="000000"/>
          <w:lang w:eastAsia="cs-CZ"/>
        </w:rPr>
        <w:t xml:space="preserve">v Praze </w:t>
      </w:r>
      <w:r>
        <w:rPr>
          <w:rFonts w:ascii="Arial" w:hAnsi="Arial" w:cs="Arial"/>
          <w:color w:val="000000"/>
          <w:lang w:eastAsia="cs-CZ"/>
        </w:rPr>
        <w:t xml:space="preserve">ale ve srovnání s okolními metropolemi není vůbec ideální. Na průměrný byt musí běžný Pražan vynaložit celý svůj příjem za 11,5 roku. </w:t>
      </w:r>
      <w:r w:rsidR="002961E7">
        <w:rPr>
          <w:rFonts w:ascii="Arial" w:hAnsi="Arial" w:cs="Arial"/>
          <w:color w:val="000000"/>
          <w:lang w:eastAsia="cs-CZ"/>
        </w:rPr>
        <w:t xml:space="preserve">A od letošního roku se zřejmě zhorší také dostupnost hypoték, které byly hnacím motorem prodeje nových bytů v uplynulých letech. </w:t>
      </w:r>
    </w:p>
    <w:p w:rsidR="00307E62" w:rsidRDefault="00307E62" w:rsidP="00E3524D">
      <w:pPr>
        <w:spacing w:after="0"/>
        <w:contextualSpacing/>
        <w:jc w:val="both"/>
        <w:rPr>
          <w:rFonts w:ascii="Arial" w:hAnsi="Arial" w:cs="Arial"/>
          <w:color w:val="000000"/>
          <w:lang w:eastAsia="cs-CZ"/>
        </w:rPr>
      </w:pPr>
    </w:p>
    <w:p w:rsidR="005E05FE" w:rsidRDefault="005E05FE" w:rsidP="00E3524D">
      <w:pPr>
        <w:spacing w:after="0"/>
        <w:contextualSpacing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  <w:bookmarkStart w:id="0" w:name="_GoBack"/>
      <w:bookmarkEnd w:id="0"/>
    </w:p>
    <w:p w:rsidR="00706CFF" w:rsidRDefault="00706CFF" w:rsidP="00E3524D">
      <w:pPr>
        <w:spacing w:after="0"/>
        <w:contextualSpacing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7B1C7A" w:rsidRDefault="007B1C7A" w:rsidP="00E3524D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E3524D" w:rsidRDefault="00E3524D" w:rsidP="00E3524D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  <w:r>
        <w:rPr>
          <w:rFonts w:ascii="Arial" w:hAnsi="Arial" w:cs="Arial"/>
          <w:color w:val="000000"/>
          <w:sz w:val="16"/>
          <w:szCs w:val="16"/>
          <w:lang w:eastAsia="cs-CZ"/>
        </w:rPr>
        <w:t xml:space="preserve">Pro více informací nás můžete kontaktovat na e-mail: </w:t>
      </w:r>
      <w:hyperlink r:id="rId10" w:history="1">
        <w:r>
          <w:rPr>
            <w:rStyle w:val="Hypertextovodkaz"/>
            <w:rFonts w:ascii="Arial" w:hAnsi="Arial" w:cs="Arial"/>
            <w:sz w:val="16"/>
            <w:szCs w:val="16"/>
            <w:lang w:eastAsia="cs-CZ"/>
          </w:rPr>
          <w:t>media@central-group.cz</w:t>
        </w:r>
      </w:hyperlink>
      <w:r>
        <w:rPr>
          <w:rFonts w:ascii="Arial" w:hAnsi="Arial" w:cs="Arial"/>
          <w:color w:val="000000"/>
          <w:sz w:val="16"/>
          <w:szCs w:val="16"/>
          <w:lang w:eastAsia="cs-CZ"/>
        </w:rPr>
        <w:t xml:space="preserve"> nebo telefonicky: Marcela Fialková – tisková mluvčí (+420 724 090 754), která může také zprostředkovat jednání s vedoucími pracovníky </w:t>
      </w:r>
      <w:proofErr w:type="spellStart"/>
      <w:r>
        <w:rPr>
          <w:rFonts w:ascii="Arial" w:hAnsi="Arial" w:cs="Arial"/>
          <w:color w:val="000000"/>
          <w:sz w:val="16"/>
          <w:szCs w:val="16"/>
          <w:lang w:eastAsia="cs-CZ"/>
        </w:rPr>
        <w:t>Central</w:t>
      </w:r>
      <w:proofErr w:type="spellEnd"/>
      <w:r>
        <w:rPr>
          <w:rFonts w:ascii="Arial" w:hAnsi="Arial" w:cs="Arial"/>
          <w:color w:val="000000"/>
          <w:sz w:val="16"/>
          <w:szCs w:val="16"/>
          <w:lang w:eastAsia="cs-CZ"/>
        </w:rPr>
        <w:t xml:space="preserve"> Group nebo jejich vyjádření. </w:t>
      </w:r>
      <w:r>
        <w:rPr>
          <w:rFonts w:ascii="Arial" w:hAnsi="Arial" w:cs="Arial"/>
          <w:sz w:val="16"/>
          <w:szCs w:val="16"/>
          <w:lang w:eastAsia="cs-CZ"/>
        </w:rPr>
        <w:t xml:space="preserve">Podrobné informace o společnosti </w:t>
      </w:r>
      <w:proofErr w:type="spellStart"/>
      <w:r>
        <w:rPr>
          <w:rFonts w:ascii="Arial" w:hAnsi="Arial" w:cs="Arial"/>
          <w:sz w:val="16"/>
          <w:szCs w:val="16"/>
          <w:lang w:eastAsia="cs-CZ"/>
        </w:rPr>
        <w:t>Central</w:t>
      </w:r>
      <w:proofErr w:type="spellEnd"/>
      <w:r>
        <w:rPr>
          <w:rFonts w:ascii="Arial" w:hAnsi="Arial" w:cs="Arial"/>
          <w:sz w:val="16"/>
          <w:szCs w:val="16"/>
          <w:lang w:eastAsia="cs-CZ"/>
        </w:rPr>
        <w:t xml:space="preserve"> Group a její nabídce naleznete na </w:t>
      </w:r>
      <w:hyperlink r:id="rId11" w:history="1">
        <w:r>
          <w:rPr>
            <w:rStyle w:val="Hypertextovodkaz"/>
            <w:rFonts w:ascii="Arial" w:hAnsi="Arial" w:cs="Arial"/>
            <w:sz w:val="16"/>
            <w:szCs w:val="16"/>
            <w:lang w:eastAsia="cs-CZ"/>
          </w:rPr>
          <w:t>www.central-group.cz</w:t>
        </w:r>
      </w:hyperlink>
      <w:r>
        <w:rPr>
          <w:rFonts w:ascii="Arial" w:hAnsi="Arial" w:cs="Arial"/>
          <w:sz w:val="16"/>
          <w:szCs w:val="16"/>
          <w:lang w:eastAsia="cs-CZ"/>
        </w:rPr>
        <w:t xml:space="preserve">, kde je také sekce </w:t>
      </w:r>
      <w:hyperlink r:id="rId12" w:history="1">
        <w:r>
          <w:rPr>
            <w:rStyle w:val="Hypertextovodkaz"/>
            <w:rFonts w:ascii="Arial" w:hAnsi="Arial" w:cs="Arial"/>
            <w:sz w:val="16"/>
            <w:szCs w:val="16"/>
            <w:lang w:eastAsia="cs-CZ"/>
          </w:rPr>
          <w:t>Pro média</w:t>
        </w:r>
      </w:hyperlink>
      <w:r>
        <w:rPr>
          <w:rFonts w:ascii="Arial" w:hAnsi="Arial" w:cs="Arial"/>
          <w:sz w:val="16"/>
          <w:szCs w:val="16"/>
          <w:lang w:eastAsia="cs-CZ"/>
        </w:rPr>
        <w:t xml:space="preserve"> a sekce </w:t>
      </w:r>
      <w:hyperlink r:id="rId13" w:history="1">
        <w:r>
          <w:rPr>
            <w:rStyle w:val="Hypertextovodkaz"/>
            <w:rFonts w:ascii="Arial" w:hAnsi="Arial" w:cs="Arial"/>
            <w:sz w:val="16"/>
            <w:szCs w:val="16"/>
            <w:lang w:eastAsia="cs-CZ"/>
          </w:rPr>
          <w:t>O</w:t>
        </w:r>
      </w:hyperlink>
      <w:r>
        <w:rPr>
          <w:rStyle w:val="Hypertextovodkaz"/>
          <w:rFonts w:ascii="Arial" w:hAnsi="Arial" w:cs="Arial"/>
          <w:sz w:val="16"/>
          <w:szCs w:val="16"/>
          <w:lang w:eastAsia="cs-CZ"/>
        </w:rPr>
        <w:t xml:space="preserve"> společnosti</w:t>
      </w:r>
      <w:r>
        <w:rPr>
          <w:rFonts w:ascii="Arial" w:hAnsi="Arial" w:cs="Arial"/>
          <w:sz w:val="16"/>
          <w:szCs w:val="16"/>
          <w:lang w:eastAsia="cs-CZ"/>
        </w:rPr>
        <w:t>.</w:t>
      </w:r>
    </w:p>
    <w:p w:rsidR="00E3524D" w:rsidRDefault="00E3524D" w:rsidP="00E3524D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E3524D" w:rsidRDefault="00E3524D" w:rsidP="00E3524D">
      <w:pPr>
        <w:spacing w:after="0" w:line="240" w:lineRule="auto"/>
        <w:jc w:val="both"/>
        <w:rPr>
          <w:rFonts w:ascii="Arial" w:hAnsi="Arial" w:cs="Arial"/>
          <w:sz w:val="16"/>
          <w:szCs w:val="16"/>
          <w:lang w:eastAsia="cs-CZ"/>
        </w:rPr>
      </w:pPr>
      <w:proofErr w:type="spellStart"/>
      <w:r>
        <w:rPr>
          <w:rFonts w:ascii="Arial" w:hAnsi="Arial" w:cs="Arial"/>
          <w:sz w:val="16"/>
          <w:szCs w:val="16"/>
          <w:lang w:eastAsia="cs-CZ"/>
        </w:rPr>
        <w:t>Central</w:t>
      </w:r>
      <w:proofErr w:type="spellEnd"/>
      <w:r>
        <w:rPr>
          <w:rFonts w:ascii="Arial" w:hAnsi="Arial" w:cs="Arial"/>
          <w:sz w:val="16"/>
          <w:szCs w:val="16"/>
          <w:lang w:eastAsia="cs-CZ"/>
        </w:rPr>
        <w:t xml:space="preserve"> Group je jednoznačně největším rezidenčním developerem a investorem nové bytové výstavby v České republice. Potvrzuje to i statistika prestižního mezinárodního magazínu CIJ (</w:t>
      </w:r>
      <w:proofErr w:type="spellStart"/>
      <w:r>
        <w:rPr>
          <w:rFonts w:ascii="Arial" w:hAnsi="Arial" w:cs="Arial"/>
          <w:sz w:val="16"/>
          <w:szCs w:val="16"/>
          <w:lang w:eastAsia="cs-CZ"/>
        </w:rPr>
        <w:t>Construction</w:t>
      </w:r>
      <w:proofErr w:type="spellEnd"/>
      <w:r>
        <w:rPr>
          <w:rFonts w:ascii="Arial" w:hAnsi="Arial" w:cs="Arial"/>
          <w:sz w:val="16"/>
          <w:szCs w:val="16"/>
          <w:lang w:eastAsia="cs-CZ"/>
        </w:rPr>
        <w:t xml:space="preserve"> &amp; </w:t>
      </w:r>
      <w:proofErr w:type="spellStart"/>
      <w:r>
        <w:rPr>
          <w:rFonts w:ascii="Arial" w:hAnsi="Arial" w:cs="Arial"/>
          <w:sz w:val="16"/>
          <w:szCs w:val="16"/>
          <w:lang w:eastAsia="cs-CZ"/>
        </w:rPr>
        <w:t>Investment</w:t>
      </w:r>
      <w:proofErr w:type="spellEnd"/>
      <w:r>
        <w:rPr>
          <w:rFonts w:ascii="Arial" w:hAnsi="Arial" w:cs="Arial"/>
          <w:sz w:val="16"/>
          <w:szCs w:val="16"/>
          <w:lang w:eastAsia="cs-CZ"/>
        </w:rPr>
        <w:t xml:space="preserve"> </w:t>
      </w:r>
      <w:proofErr w:type="spellStart"/>
      <w:r>
        <w:rPr>
          <w:rFonts w:ascii="Arial" w:hAnsi="Arial" w:cs="Arial"/>
          <w:sz w:val="16"/>
          <w:szCs w:val="16"/>
          <w:lang w:eastAsia="cs-CZ"/>
        </w:rPr>
        <w:t>Journal</w:t>
      </w:r>
      <w:proofErr w:type="spellEnd"/>
      <w:r>
        <w:rPr>
          <w:rFonts w:ascii="Arial" w:hAnsi="Arial" w:cs="Arial"/>
          <w:sz w:val="16"/>
          <w:szCs w:val="16"/>
          <w:lang w:eastAsia="cs-CZ"/>
        </w:rPr>
        <w:t>), který firmu zařadil mezi desítku největších rezidenčních developerů ve střední a východní Evropě. Za 2</w:t>
      </w:r>
      <w:r w:rsidR="00004F58">
        <w:rPr>
          <w:rFonts w:ascii="Arial" w:hAnsi="Arial" w:cs="Arial"/>
          <w:sz w:val="16"/>
          <w:szCs w:val="16"/>
          <w:lang w:eastAsia="cs-CZ"/>
        </w:rPr>
        <w:t>3</w:t>
      </w:r>
      <w:r>
        <w:rPr>
          <w:rFonts w:ascii="Arial" w:hAnsi="Arial" w:cs="Arial"/>
          <w:sz w:val="16"/>
          <w:szCs w:val="16"/>
          <w:lang w:eastAsia="cs-CZ"/>
        </w:rPr>
        <w:t xml:space="preserve"> let svého působení firma dokončila již více než 1</w:t>
      </w:r>
      <w:r w:rsidR="005E05FE">
        <w:rPr>
          <w:rFonts w:ascii="Arial" w:hAnsi="Arial" w:cs="Arial"/>
          <w:sz w:val="16"/>
          <w:szCs w:val="16"/>
          <w:lang w:eastAsia="cs-CZ"/>
        </w:rPr>
        <w:t>51</w:t>
      </w:r>
      <w:r>
        <w:rPr>
          <w:rFonts w:ascii="Arial" w:hAnsi="Arial" w:cs="Arial"/>
          <w:sz w:val="16"/>
          <w:szCs w:val="16"/>
          <w:lang w:eastAsia="cs-CZ"/>
        </w:rPr>
        <w:t xml:space="preserve"> rezidenčních projektů a prodala více než 1</w:t>
      </w:r>
      <w:r w:rsidR="005E05FE">
        <w:rPr>
          <w:rFonts w:ascii="Arial" w:hAnsi="Arial" w:cs="Arial"/>
          <w:sz w:val="16"/>
          <w:szCs w:val="16"/>
          <w:lang w:eastAsia="cs-CZ"/>
        </w:rPr>
        <w:t>3</w:t>
      </w:r>
      <w:r>
        <w:rPr>
          <w:rFonts w:ascii="Arial" w:hAnsi="Arial" w:cs="Arial"/>
          <w:sz w:val="16"/>
          <w:szCs w:val="16"/>
          <w:lang w:eastAsia="cs-CZ"/>
        </w:rPr>
        <w:t xml:space="preserve">.000 nových bytů, domů a parcel. Na všechny své byty a rodinné domy poskytuje Garanci nejlepší ceny. To znamená, že pokud někdo najde srovnatelnou nemovitost s lepší cenou oproti nabídce </w:t>
      </w:r>
      <w:proofErr w:type="spellStart"/>
      <w:r>
        <w:rPr>
          <w:rFonts w:ascii="Arial" w:hAnsi="Arial" w:cs="Arial"/>
          <w:sz w:val="16"/>
          <w:szCs w:val="16"/>
          <w:lang w:eastAsia="cs-CZ"/>
        </w:rPr>
        <w:t>Central</w:t>
      </w:r>
      <w:proofErr w:type="spellEnd"/>
      <w:r>
        <w:rPr>
          <w:rFonts w:ascii="Arial" w:hAnsi="Arial" w:cs="Arial"/>
          <w:sz w:val="16"/>
          <w:szCs w:val="16"/>
          <w:lang w:eastAsia="cs-CZ"/>
        </w:rPr>
        <w:t xml:space="preserve"> Group, firma cenu dorovná a ještě přidá bonus ve výši 100.000 Kč.</w:t>
      </w:r>
    </w:p>
    <w:p w:rsidR="00E3524D" w:rsidRDefault="00E3524D" w:rsidP="00E3524D">
      <w:pPr>
        <w:spacing w:after="0" w:line="240" w:lineRule="auto"/>
        <w:jc w:val="both"/>
        <w:rPr>
          <w:rFonts w:ascii="Arial" w:hAnsi="Arial" w:cs="Arial"/>
          <w:sz w:val="16"/>
          <w:szCs w:val="16"/>
          <w:lang w:eastAsia="cs-CZ"/>
        </w:rPr>
      </w:pPr>
      <w:r>
        <w:rPr>
          <w:rFonts w:ascii="Arial" w:hAnsi="Arial" w:cs="Arial"/>
          <w:sz w:val="16"/>
          <w:szCs w:val="16"/>
          <w:lang w:eastAsia="cs-CZ"/>
        </w:rPr>
        <w:t xml:space="preserve">   </w:t>
      </w:r>
    </w:p>
    <w:p w:rsidR="00E3524D" w:rsidRDefault="00E3524D" w:rsidP="00E3524D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  <w:r>
        <w:rPr>
          <w:rFonts w:ascii="Arial" w:hAnsi="Arial" w:cs="Arial"/>
          <w:sz w:val="16"/>
          <w:szCs w:val="16"/>
          <w:lang w:eastAsia="cs-CZ"/>
        </w:rPr>
        <w:t xml:space="preserve">Společnost dlouhodobě vykazuje stabilní zisk, rostoucí podíl na trhu a pro svou činnost nepotřebuje žádný bankovní úvěr. Za dobu svého působení koncern </w:t>
      </w:r>
      <w:proofErr w:type="spellStart"/>
      <w:r>
        <w:rPr>
          <w:rFonts w:ascii="Arial" w:hAnsi="Arial" w:cs="Arial"/>
          <w:sz w:val="16"/>
          <w:szCs w:val="16"/>
          <w:lang w:eastAsia="cs-CZ"/>
        </w:rPr>
        <w:t>Central</w:t>
      </w:r>
      <w:proofErr w:type="spellEnd"/>
      <w:r>
        <w:rPr>
          <w:rFonts w:ascii="Arial" w:hAnsi="Arial" w:cs="Arial"/>
          <w:sz w:val="16"/>
          <w:szCs w:val="16"/>
          <w:lang w:eastAsia="cs-CZ"/>
        </w:rPr>
        <w:t xml:space="preserve"> Group uhradil českému státu jen na přímých daních již více než 1</w:t>
      </w:r>
      <w:r>
        <w:rPr>
          <w:rFonts w:ascii="Arial" w:hAnsi="Arial" w:cs="Arial"/>
          <w:b/>
          <w:sz w:val="16"/>
          <w:szCs w:val="16"/>
          <w:lang w:eastAsia="cs-CZ"/>
        </w:rPr>
        <w:t>,</w:t>
      </w:r>
      <w:r>
        <w:rPr>
          <w:rFonts w:ascii="Arial" w:hAnsi="Arial" w:cs="Arial"/>
          <w:sz w:val="16"/>
          <w:szCs w:val="16"/>
          <w:lang w:eastAsia="cs-CZ"/>
        </w:rPr>
        <w:t>7</w:t>
      </w:r>
      <w:r w:rsidR="00697086">
        <w:rPr>
          <w:rFonts w:ascii="Arial" w:hAnsi="Arial" w:cs="Arial"/>
          <w:sz w:val="16"/>
          <w:szCs w:val="16"/>
          <w:lang w:eastAsia="cs-CZ"/>
        </w:rPr>
        <w:t>5</w:t>
      </w:r>
      <w:r>
        <w:rPr>
          <w:rFonts w:ascii="Arial" w:hAnsi="Arial" w:cs="Arial"/>
          <w:sz w:val="16"/>
          <w:szCs w:val="16"/>
          <w:lang w:eastAsia="cs-CZ"/>
        </w:rPr>
        <w:t xml:space="preserve"> miliardy korun. </w:t>
      </w:r>
      <w:r>
        <w:rPr>
          <w:rFonts w:ascii="Arial" w:hAnsi="Arial" w:cs="Arial"/>
          <w:color w:val="000000"/>
          <w:sz w:val="16"/>
          <w:szCs w:val="16"/>
          <w:lang w:eastAsia="cs-CZ"/>
        </w:rPr>
        <w:t>Významné prostředky věnuje společnost také na obecně prospěšné účely (například na výsadbu zeleně nebo na realizaci veřejných komunikací a inženýrských sítí pro městské části a obce v mnoha desítkách milionů Kč ročně) a také na charitativní činnost (například Nadačnímu fondu pro zdraví dětí zřízenému ve prospěch Ústavu pro péči o matku a dítě v Praze 4 – Podolí).</w:t>
      </w:r>
    </w:p>
    <w:p w:rsidR="00E3524D" w:rsidRDefault="00E3524D" w:rsidP="00E3524D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053FF6" w:rsidRDefault="00A17A92" w:rsidP="001E56BE">
      <w:pPr>
        <w:spacing w:after="0" w:line="240" w:lineRule="auto"/>
        <w:jc w:val="both"/>
        <w:rPr>
          <w:rFonts w:ascii="Arial" w:hAnsi="Arial" w:cs="Arial"/>
          <w:lang w:eastAsia="cs-CZ"/>
        </w:rPr>
      </w:pPr>
      <w:proofErr w:type="spellStart"/>
      <w:r>
        <w:rPr>
          <w:rFonts w:ascii="Arial" w:hAnsi="Arial" w:cs="Arial"/>
          <w:sz w:val="16"/>
          <w:szCs w:val="16"/>
        </w:rPr>
        <w:t>Cent</w:t>
      </w:r>
      <w:r w:rsidR="00E3524D">
        <w:rPr>
          <w:rFonts w:ascii="Arial" w:hAnsi="Arial" w:cs="Arial"/>
          <w:sz w:val="16"/>
          <w:szCs w:val="16"/>
        </w:rPr>
        <w:t>ral</w:t>
      </w:r>
      <w:proofErr w:type="spellEnd"/>
      <w:r w:rsidR="00E3524D">
        <w:rPr>
          <w:rFonts w:ascii="Arial" w:hAnsi="Arial" w:cs="Arial"/>
          <w:sz w:val="16"/>
          <w:szCs w:val="16"/>
        </w:rPr>
        <w:t xml:space="preserve"> Group je nejen největším českým prodejcem nových bytů a domů, ale také nejaktivnějším investorem v rámci akvizic nových pozemků pro rezidenční výstavbu. V současné době má nakoupené a připravené pozemky pro více než 15.000 nových bytů a rodinných domů. Ty plánuje zařadit do prodeje v průběhu příštích </w:t>
      </w:r>
      <w:r w:rsidR="00145D58">
        <w:rPr>
          <w:rFonts w:ascii="Arial" w:hAnsi="Arial" w:cs="Arial"/>
          <w:sz w:val="16"/>
          <w:szCs w:val="16"/>
        </w:rPr>
        <w:t>deseti</w:t>
      </w:r>
      <w:r w:rsidR="00E3524D">
        <w:rPr>
          <w:rFonts w:ascii="Arial" w:hAnsi="Arial" w:cs="Arial"/>
          <w:sz w:val="16"/>
          <w:szCs w:val="16"/>
        </w:rPr>
        <w:t xml:space="preserve"> let. </w:t>
      </w:r>
      <w:proofErr w:type="spellStart"/>
      <w:r w:rsidR="00E3524D">
        <w:rPr>
          <w:rFonts w:ascii="Arial" w:hAnsi="Arial" w:cs="Arial"/>
          <w:sz w:val="16"/>
          <w:szCs w:val="16"/>
        </w:rPr>
        <w:t>Central</w:t>
      </w:r>
      <w:proofErr w:type="spellEnd"/>
      <w:r w:rsidR="00E3524D">
        <w:rPr>
          <w:rFonts w:ascii="Arial" w:hAnsi="Arial" w:cs="Arial"/>
          <w:sz w:val="16"/>
          <w:szCs w:val="16"/>
        </w:rPr>
        <w:t xml:space="preserve"> Group nadále intenzivně hledá a nakupuje další pozemky a brownfieldy v Praze pro výstavbu nových bytů a domů.   </w:t>
      </w:r>
    </w:p>
    <w:sectPr w:rsidR="00053FF6" w:rsidSect="00EB64B6">
      <w:headerReference w:type="default" r:id="rId14"/>
      <w:pgSz w:w="11906" w:h="16838"/>
      <w:pgMar w:top="2693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18E2" w:rsidRDefault="003518E2" w:rsidP="00655B14">
      <w:pPr>
        <w:spacing w:after="0" w:line="240" w:lineRule="auto"/>
      </w:pPr>
      <w:r>
        <w:separator/>
      </w:r>
    </w:p>
  </w:endnote>
  <w:endnote w:type="continuationSeparator" w:id="0">
    <w:p w:rsidR="003518E2" w:rsidRDefault="003518E2" w:rsidP="00655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18E2" w:rsidRDefault="003518E2" w:rsidP="00655B14">
      <w:pPr>
        <w:spacing w:after="0" w:line="240" w:lineRule="auto"/>
      </w:pPr>
      <w:r>
        <w:separator/>
      </w:r>
    </w:p>
  </w:footnote>
  <w:footnote w:type="continuationSeparator" w:id="0">
    <w:p w:rsidR="003518E2" w:rsidRDefault="003518E2" w:rsidP="00655B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B14" w:rsidRPr="00D763B7" w:rsidRDefault="00655B14" w:rsidP="00655B14">
    <w:pPr>
      <w:pStyle w:val="nadpis"/>
      <w:spacing w:line="276" w:lineRule="auto"/>
      <w:rPr>
        <w:color w:val="17365D"/>
        <w:sz w:val="30"/>
        <w:szCs w:val="30"/>
      </w:rPr>
    </w:pPr>
    <w:r>
      <w:rPr>
        <w:noProof/>
        <w:sz w:val="30"/>
        <w:szCs w:val="30"/>
        <w:lang w:eastAsia="cs-CZ"/>
      </w:rPr>
      <mc:AlternateContent>
        <mc:Choice Requires="wps">
          <w:drawing>
            <wp:anchor distT="4294967291" distB="4294967291" distL="114300" distR="114300" simplePos="0" relativeHeight="251657216" behindDoc="0" locked="0" layoutInCell="1" allowOverlap="1" wp14:anchorId="4E8FE32D" wp14:editId="010B1E7A">
              <wp:simplePos x="0" y="0"/>
              <wp:positionH relativeFrom="column">
                <wp:posOffset>-635</wp:posOffset>
              </wp:positionH>
              <wp:positionV relativeFrom="paragraph">
                <wp:posOffset>292099</wp:posOffset>
              </wp:positionV>
              <wp:extent cx="4547870" cy="0"/>
              <wp:effectExtent l="0" t="0" r="24130" b="19050"/>
              <wp:wrapNone/>
              <wp:docPr id="1" name="Přímá spojnice se šipkou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54787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BC28CD" id="_x0000_t32" coordsize="21600,21600" o:spt="32" o:oned="t" path="m,l21600,21600e" filled="f">
              <v:path arrowok="t" fillok="f" o:connecttype="none"/>
              <o:lock v:ext="edit" shapetype="t"/>
            </v:shapetype>
            <v:shape id="Přímá spojnice se šipkou 1" o:spid="_x0000_s1026" type="#_x0000_t32" style="position:absolute;margin-left:-.05pt;margin-top:23pt;width:358.1pt;height:0;z-index:2516572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"/>
          </w:pict>
        </mc:Fallback>
      </mc:AlternateContent>
    </w:r>
    <w:r w:rsidRPr="00D763B7">
      <w:rPr>
        <w:rFonts w:ascii="Arial" w:hAnsi="Arial" w:cs="Arial"/>
        <w:b/>
        <w:noProof/>
        <w:sz w:val="30"/>
        <w:szCs w:val="30"/>
        <w:lang w:eastAsia="cs-CZ"/>
      </w:rPr>
      <w:drawing>
        <wp:anchor distT="0" distB="0" distL="114300" distR="114300" simplePos="0" relativeHeight="251663360" behindDoc="1" locked="0" layoutInCell="1" allowOverlap="1" wp14:anchorId="229CDBBB" wp14:editId="76A64B41">
          <wp:simplePos x="0" y="0"/>
          <wp:positionH relativeFrom="margin">
            <wp:align>right</wp:align>
          </wp:positionH>
          <wp:positionV relativeFrom="paragraph">
            <wp:posOffset>-300990</wp:posOffset>
          </wp:positionV>
          <wp:extent cx="1458595" cy="1398270"/>
          <wp:effectExtent l="0" t="0" r="8255" b="0"/>
          <wp:wrapNone/>
          <wp:docPr id="2" name="Obráze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8595" cy="1398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color w:val="17365D"/>
        <w:sz w:val="30"/>
        <w:szCs w:val="30"/>
      </w:rPr>
      <w:t>TISKOVÁ ZPRÁVA</w:t>
    </w:r>
    <w:r w:rsidRPr="00D763B7">
      <w:rPr>
        <w:color w:val="17365D"/>
        <w:sz w:val="30"/>
        <w:szCs w:val="30"/>
      </w:rPr>
      <w:tab/>
    </w:r>
  </w:p>
  <w:p w:rsidR="00655B14" w:rsidRPr="00D763B7" w:rsidRDefault="00242818" w:rsidP="00655B14">
    <w:pPr>
      <w:pStyle w:val="nadpis"/>
      <w:spacing w:line="276" w:lineRule="auto"/>
      <w:rPr>
        <w:color w:val="17365D"/>
        <w:sz w:val="30"/>
        <w:szCs w:val="30"/>
      </w:rPr>
    </w:pPr>
    <w:r>
      <w:rPr>
        <w:color w:val="17365D"/>
        <w:sz w:val="30"/>
        <w:szCs w:val="30"/>
      </w:rPr>
      <w:t>16</w:t>
    </w:r>
    <w:r w:rsidR="00633318">
      <w:rPr>
        <w:color w:val="17365D"/>
        <w:sz w:val="30"/>
        <w:szCs w:val="30"/>
      </w:rPr>
      <w:t>.</w:t>
    </w:r>
    <w:r w:rsidR="00827C89">
      <w:rPr>
        <w:color w:val="17365D"/>
        <w:sz w:val="30"/>
        <w:szCs w:val="30"/>
      </w:rPr>
      <w:t xml:space="preserve"> </w:t>
    </w:r>
    <w:r>
      <w:rPr>
        <w:color w:val="17365D"/>
        <w:sz w:val="30"/>
        <w:szCs w:val="30"/>
      </w:rPr>
      <w:t>3</w:t>
    </w:r>
    <w:r w:rsidR="00655B14">
      <w:rPr>
        <w:color w:val="17365D"/>
        <w:sz w:val="30"/>
        <w:szCs w:val="30"/>
      </w:rPr>
      <w:t>.</w:t>
    </w:r>
    <w:r w:rsidR="00827C89">
      <w:rPr>
        <w:color w:val="17365D"/>
        <w:sz w:val="30"/>
        <w:szCs w:val="30"/>
      </w:rPr>
      <w:t xml:space="preserve"> </w:t>
    </w:r>
    <w:r w:rsidR="00655B14">
      <w:rPr>
        <w:color w:val="17365D"/>
        <w:sz w:val="30"/>
        <w:szCs w:val="30"/>
      </w:rPr>
      <w:t>201</w:t>
    </w:r>
    <w:r w:rsidR="0031668C">
      <w:rPr>
        <w:color w:val="17365D"/>
        <w:sz w:val="30"/>
        <w:szCs w:val="30"/>
      </w:rPr>
      <w:t>7</w:t>
    </w:r>
  </w:p>
  <w:p w:rsidR="00655B14" w:rsidRPr="00E25B7E" w:rsidRDefault="00655B14" w:rsidP="00655B14">
    <w:pPr>
      <w:spacing w:after="0"/>
      <w:rPr>
        <w:rFonts w:ascii="Arial Black" w:hAnsi="Arial Black" w:cs="Arial"/>
        <w:b/>
        <w:sz w:val="28"/>
        <w:szCs w:val="28"/>
      </w:rPr>
    </w:pPr>
  </w:p>
  <w:p w:rsidR="00655B14" w:rsidRDefault="00655B1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5742F"/>
    <w:multiLevelType w:val="hybridMultilevel"/>
    <w:tmpl w:val="6180DB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46EA3"/>
    <w:multiLevelType w:val="hybridMultilevel"/>
    <w:tmpl w:val="2A404E64"/>
    <w:lvl w:ilvl="0" w:tplc="C5BA163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DE19F6"/>
    <w:multiLevelType w:val="hybridMultilevel"/>
    <w:tmpl w:val="D20EEF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060454"/>
    <w:multiLevelType w:val="hybridMultilevel"/>
    <w:tmpl w:val="D64016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3E418E"/>
    <w:multiLevelType w:val="hybridMultilevel"/>
    <w:tmpl w:val="46CA3F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8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B56"/>
    <w:rsid w:val="0000345B"/>
    <w:rsid w:val="00004F58"/>
    <w:rsid w:val="0000781F"/>
    <w:rsid w:val="000142A6"/>
    <w:rsid w:val="0002312D"/>
    <w:rsid w:val="00024764"/>
    <w:rsid w:val="000266CE"/>
    <w:rsid w:val="000267C4"/>
    <w:rsid w:val="0002687F"/>
    <w:rsid w:val="000310FA"/>
    <w:rsid w:val="0003162C"/>
    <w:rsid w:val="000336D2"/>
    <w:rsid w:val="00034F4A"/>
    <w:rsid w:val="00036B56"/>
    <w:rsid w:val="00036D72"/>
    <w:rsid w:val="00042A08"/>
    <w:rsid w:val="000449DD"/>
    <w:rsid w:val="00047F3F"/>
    <w:rsid w:val="00051163"/>
    <w:rsid w:val="000512A9"/>
    <w:rsid w:val="00053FF6"/>
    <w:rsid w:val="00057673"/>
    <w:rsid w:val="000702CA"/>
    <w:rsid w:val="0007119F"/>
    <w:rsid w:val="0007250E"/>
    <w:rsid w:val="00075196"/>
    <w:rsid w:val="00075EC3"/>
    <w:rsid w:val="000778E1"/>
    <w:rsid w:val="00083452"/>
    <w:rsid w:val="00083BA8"/>
    <w:rsid w:val="0008492F"/>
    <w:rsid w:val="0008540C"/>
    <w:rsid w:val="000854B7"/>
    <w:rsid w:val="00085F81"/>
    <w:rsid w:val="000865A5"/>
    <w:rsid w:val="00087826"/>
    <w:rsid w:val="000919F8"/>
    <w:rsid w:val="00091E8A"/>
    <w:rsid w:val="000A0381"/>
    <w:rsid w:val="000A2C12"/>
    <w:rsid w:val="000A555C"/>
    <w:rsid w:val="000B1F3B"/>
    <w:rsid w:val="000B259C"/>
    <w:rsid w:val="000C093A"/>
    <w:rsid w:val="000C111A"/>
    <w:rsid w:val="000C1853"/>
    <w:rsid w:val="000C392E"/>
    <w:rsid w:val="000C61A9"/>
    <w:rsid w:val="000D0B58"/>
    <w:rsid w:val="000D2CE8"/>
    <w:rsid w:val="000D3DC9"/>
    <w:rsid w:val="000D67EC"/>
    <w:rsid w:val="000D6F5E"/>
    <w:rsid w:val="000D7AAD"/>
    <w:rsid w:val="000F014E"/>
    <w:rsid w:val="000F76D9"/>
    <w:rsid w:val="000F7DD9"/>
    <w:rsid w:val="00103E92"/>
    <w:rsid w:val="0010798A"/>
    <w:rsid w:val="0011263C"/>
    <w:rsid w:val="0012325C"/>
    <w:rsid w:val="00123839"/>
    <w:rsid w:val="001254FE"/>
    <w:rsid w:val="00126B39"/>
    <w:rsid w:val="00134324"/>
    <w:rsid w:val="00136B59"/>
    <w:rsid w:val="00136DD9"/>
    <w:rsid w:val="001374C1"/>
    <w:rsid w:val="0014189D"/>
    <w:rsid w:val="00145D58"/>
    <w:rsid w:val="00147D32"/>
    <w:rsid w:val="0015386E"/>
    <w:rsid w:val="00154E05"/>
    <w:rsid w:val="00155FBC"/>
    <w:rsid w:val="00160996"/>
    <w:rsid w:val="00167091"/>
    <w:rsid w:val="00167393"/>
    <w:rsid w:val="00167EA3"/>
    <w:rsid w:val="001709D1"/>
    <w:rsid w:val="00175BC6"/>
    <w:rsid w:val="00176DB2"/>
    <w:rsid w:val="00180DF0"/>
    <w:rsid w:val="00181963"/>
    <w:rsid w:val="00182A74"/>
    <w:rsid w:val="00182F69"/>
    <w:rsid w:val="001837BC"/>
    <w:rsid w:val="001839E1"/>
    <w:rsid w:val="00184AA4"/>
    <w:rsid w:val="001947DA"/>
    <w:rsid w:val="001975BF"/>
    <w:rsid w:val="001A0918"/>
    <w:rsid w:val="001A0E14"/>
    <w:rsid w:val="001A4934"/>
    <w:rsid w:val="001A60F5"/>
    <w:rsid w:val="001A6619"/>
    <w:rsid w:val="001B6C34"/>
    <w:rsid w:val="001B7101"/>
    <w:rsid w:val="001B7358"/>
    <w:rsid w:val="001C66CF"/>
    <w:rsid w:val="001C67C0"/>
    <w:rsid w:val="001C6D66"/>
    <w:rsid w:val="001D35BC"/>
    <w:rsid w:val="001D41E4"/>
    <w:rsid w:val="001D7759"/>
    <w:rsid w:val="001E0EA9"/>
    <w:rsid w:val="001E14EF"/>
    <w:rsid w:val="001E1516"/>
    <w:rsid w:val="001E15A7"/>
    <w:rsid w:val="001E1A62"/>
    <w:rsid w:val="001E447B"/>
    <w:rsid w:val="001E56BE"/>
    <w:rsid w:val="001E5C33"/>
    <w:rsid w:val="001F0C11"/>
    <w:rsid w:val="001F3B75"/>
    <w:rsid w:val="001F5AAF"/>
    <w:rsid w:val="001F5F25"/>
    <w:rsid w:val="001F75D0"/>
    <w:rsid w:val="001F7B64"/>
    <w:rsid w:val="002024C8"/>
    <w:rsid w:val="002039FC"/>
    <w:rsid w:val="00205CE6"/>
    <w:rsid w:val="002112DE"/>
    <w:rsid w:val="0021271C"/>
    <w:rsid w:val="00214B9A"/>
    <w:rsid w:val="0022029B"/>
    <w:rsid w:val="002321C8"/>
    <w:rsid w:val="00234852"/>
    <w:rsid w:val="00237A96"/>
    <w:rsid w:val="00242818"/>
    <w:rsid w:val="002442D9"/>
    <w:rsid w:val="00244FB9"/>
    <w:rsid w:val="00253B9A"/>
    <w:rsid w:val="002543C3"/>
    <w:rsid w:val="00255584"/>
    <w:rsid w:val="00261752"/>
    <w:rsid w:val="00265E94"/>
    <w:rsid w:val="00272534"/>
    <w:rsid w:val="002769EC"/>
    <w:rsid w:val="002802F5"/>
    <w:rsid w:val="00282554"/>
    <w:rsid w:val="00283463"/>
    <w:rsid w:val="0028544B"/>
    <w:rsid w:val="002910B2"/>
    <w:rsid w:val="002961E7"/>
    <w:rsid w:val="002A09C6"/>
    <w:rsid w:val="002A1D9E"/>
    <w:rsid w:val="002A355F"/>
    <w:rsid w:val="002A5494"/>
    <w:rsid w:val="002B22EC"/>
    <w:rsid w:val="002B2E77"/>
    <w:rsid w:val="002B34A2"/>
    <w:rsid w:val="002C100F"/>
    <w:rsid w:val="002C4DCA"/>
    <w:rsid w:val="002C53C3"/>
    <w:rsid w:val="002C5688"/>
    <w:rsid w:val="002D082D"/>
    <w:rsid w:val="002D2EE1"/>
    <w:rsid w:val="002D61ED"/>
    <w:rsid w:val="002E026D"/>
    <w:rsid w:val="002E04AA"/>
    <w:rsid w:val="002E128D"/>
    <w:rsid w:val="002E69D8"/>
    <w:rsid w:val="002E7D8B"/>
    <w:rsid w:val="002F02F6"/>
    <w:rsid w:val="002F3BBF"/>
    <w:rsid w:val="002F3C78"/>
    <w:rsid w:val="002F696E"/>
    <w:rsid w:val="00307E62"/>
    <w:rsid w:val="00310056"/>
    <w:rsid w:val="003115D8"/>
    <w:rsid w:val="0031568A"/>
    <w:rsid w:val="0031668C"/>
    <w:rsid w:val="00316A88"/>
    <w:rsid w:val="00320B75"/>
    <w:rsid w:val="00333809"/>
    <w:rsid w:val="003366AE"/>
    <w:rsid w:val="0034284D"/>
    <w:rsid w:val="00343FF8"/>
    <w:rsid w:val="00344642"/>
    <w:rsid w:val="00344915"/>
    <w:rsid w:val="003518E2"/>
    <w:rsid w:val="00354906"/>
    <w:rsid w:val="00356DEF"/>
    <w:rsid w:val="003629D5"/>
    <w:rsid w:val="00364E18"/>
    <w:rsid w:val="0036643F"/>
    <w:rsid w:val="0036769C"/>
    <w:rsid w:val="003722A2"/>
    <w:rsid w:val="00372899"/>
    <w:rsid w:val="00377C0F"/>
    <w:rsid w:val="00380E96"/>
    <w:rsid w:val="0038164F"/>
    <w:rsid w:val="00390D9B"/>
    <w:rsid w:val="00393588"/>
    <w:rsid w:val="003954AF"/>
    <w:rsid w:val="003973E3"/>
    <w:rsid w:val="003975FB"/>
    <w:rsid w:val="003A4846"/>
    <w:rsid w:val="003A4E1B"/>
    <w:rsid w:val="003A74FB"/>
    <w:rsid w:val="003B0B39"/>
    <w:rsid w:val="003B20BE"/>
    <w:rsid w:val="003B2626"/>
    <w:rsid w:val="003B669D"/>
    <w:rsid w:val="003C4264"/>
    <w:rsid w:val="003E131F"/>
    <w:rsid w:val="003E1A52"/>
    <w:rsid w:val="003E25B5"/>
    <w:rsid w:val="003E3DDE"/>
    <w:rsid w:val="003E3EEE"/>
    <w:rsid w:val="003E4FDA"/>
    <w:rsid w:val="003E5DEB"/>
    <w:rsid w:val="003E75A1"/>
    <w:rsid w:val="003F1BE3"/>
    <w:rsid w:val="003F4A3F"/>
    <w:rsid w:val="00404882"/>
    <w:rsid w:val="00404AE7"/>
    <w:rsid w:val="004065D6"/>
    <w:rsid w:val="00407C3A"/>
    <w:rsid w:val="00407D1B"/>
    <w:rsid w:val="0041092C"/>
    <w:rsid w:val="00411ECF"/>
    <w:rsid w:val="00412DAD"/>
    <w:rsid w:val="00415AF5"/>
    <w:rsid w:val="00416096"/>
    <w:rsid w:val="0042143D"/>
    <w:rsid w:val="00423B06"/>
    <w:rsid w:val="00425B70"/>
    <w:rsid w:val="004267CA"/>
    <w:rsid w:val="004269C0"/>
    <w:rsid w:val="0043290F"/>
    <w:rsid w:val="0045189F"/>
    <w:rsid w:val="00457B53"/>
    <w:rsid w:val="00463C79"/>
    <w:rsid w:val="004669A9"/>
    <w:rsid w:val="00470BAB"/>
    <w:rsid w:val="00474F5D"/>
    <w:rsid w:val="004755AC"/>
    <w:rsid w:val="00483217"/>
    <w:rsid w:val="00487B16"/>
    <w:rsid w:val="00490A3A"/>
    <w:rsid w:val="00490FEF"/>
    <w:rsid w:val="00491B22"/>
    <w:rsid w:val="00494878"/>
    <w:rsid w:val="004952C9"/>
    <w:rsid w:val="0049638C"/>
    <w:rsid w:val="00496B6A"/>
    <w:rsid w:val="004A1CF9"/>
    <w:rsid w:val="004B31B4"/>
    <w:rsid w:val="004B7B91"/>
    <w:rsid w:val="004C0A81"/>
    <w:rsid w:val="004C68D5"/>
    <w:rsid w:val="004D14BF"/>
    <w:rsid w:val="004D230C"/>
    <w:rsid w:val="004D3EFE"/>
    <w:rsid w:val="004D6F71"/>
    <w:rsid w:val="004D718C"/>
    <w:rsid w:val="004E48FD"/>
    <w:rsid w:val="004E53EE"/>
    <w:rsid w:val="004F3CC2"/>
    <w:rsid w:val="004F4589"/>
    <w:rsid w:val="0050068F"/>
    <w:rsid w:val="005063E2"/>
    <w:rsid w:val="00506D83"/>
    <w:rsid w:val="00506E60"/>
    <w:rsid w:val="005071FB"/>
    <w:rsid w:val="00516528"/>
    <w:rsid w:val="005207A4"/>
    <w:rsid w:val="005226E6"/>
    <w:rsid w:val="00522A3F"/>
    <w:rsid w:val="00525388"/>
    <w:rsid w:val="00525770"/>
    <w:rsid w:val="00525B64"/>
    <w:rsid w:val="00526B27"/>
    <w:rsid w:val="00530881"/>
    <w:rsid w:val="00532D97"/>
    <w:rsid w:val="00534219"/>
    <w:rsid w:val="00536342"/>
    <w:rsid w:val="005405D8"/>
    <w:rsid w:val="00541CA7"/>
    <w:rsid w:val="00542901"/>
    <w:rsid w:val="00542996"/>
    <w:rsid w:val="00543480"/>
    <w:rsid w:val="00543E13"/>
    <w:rsid w:val="00546F9D"/>
    <w:rsid w:val="00560668"/>
    <w:rsid w:val="00563B73"/>
    <w:rsid w:val="00564E82"/>
    <w:rsid w:val="00567B05"/>
    <w:rsid w:val="00567FCC"/>
    <w:rsid w:val="00573A57"/>
    <w:rsid w:val="00574AB5"/>
    <w:rsid w:val="00575350"/>
    <w:rsid w:val="00575AC0"/>
    <w:rsid w:val="00575DE9"/>
    <w:rsid w:val="00582D61"/>
    <w:rsid w:val="005A0735"/>
    <w:rsid w:val="005A1046"/>
    <w:rsid w:val="005A33B1"/>
    <w:rsid w:val="005A41FB"/>
    <w:rsid w:val="005A6A33"/>
    <w:rsid w:val="005B5C23"/>
    <w:rsid w:val="005B681C"/>
    <w:rsid w:val="005C4CF0"/>
    <w:rsid w:val="005C58EE"/>
    <w:rsid w:val="005C710A"/>
    <w:rsid w:val="005E05FE"/>
    <w:rsid w:val="005E2124"/>
    <w:rsid w:val="005F5002"/>
    <w:rsid w:val="005F730C"/>
    <w:rsid w:val="00605851"/>
    <w:rsid w:val="00605F5F"/>
    <w:rsid w:val="006113F4"/>
    <w:rsid w:val="0061229B"/>
    <w:rsid w:val="00612999"/>
    <w:rsid w:val="00612D3F"/>
    <w:rsid w:val="00612F63"/>
    <w:rsid w:val="00613CA5"/>
    <w:rsid w:val="00613DF6"/>
    <w:rsid w:val="00613E4C"/>
    <w:rsid w:val="006148ED"/>
    <w:rsid w:val="00615AC2"/>
    <w:rsid w:val="00617D67"/>
    <w:rsid w:val="00621B9E"/>
    <w:rsid w:val="0062361C"/>
    <w:rsid w:val="00623642"/>
    <w:rsid w:val="00623B37"/>
    <w:rsid w:val="00624443"/>
    <w:rsid w:val="006278BF"/>
    <w:rsid w:val="0063062D"/>
    <w:rsid w:val="006331B3"/>
    <w:rsid w:val="00633318"/>
    <w:rsid w:val="006335BF"/>
    <w:rsid w:val="0063429C"/>
    <w:rsid w:val="006362FC"/>
    <w:rsid w:val="00646F68"/>
    <w:rsid w:val="006474BF"/>
    <w:rsid w:val="0065030F"/>
    <w:rsid w:val="00650B15"/>
    <w:rsid w:val="00651991"/>
    <w:rsid w:val="00654307"/>
    <w:rsid w:val="00654F88"/>
    <w:rsid w:val="00655B14"/>
    <w:rsid w:val="00661906"/>
    <w:rsid w:val="00663DF4"/>
    <w:rsid w:val="006650D5"/>
    <w:rsid w:val="00670D2D"/>
    <w:rsid w:val="0067733C"/>
    <w:rsid w:val="006832C4"/>
    <w:rsid w:val="00686D43"/>
    <w:rsid w:val="006927C2"/>
    <w:rsid w:val="006934FA"/>
    <w:rsid w:val="00693888"/>
    <w:rsid w:val="00697086"/>
    <w:rsid w:val="006A0377"/>
    <w:rsid w:val="006A0D19"/>
    <w:rsid w:val="006A2453"/>
    <w:rsid w:val="006A447A"/>
    <w:rsid w:val="006A5D80"/>
    <w:rsid w:val="006B1D92"/>
    <w:rsid w:val="006B3A10"/>
    <w:rsid w:val="006B4962"/>
    <w:rsid w:val="006B5D5E"/>
    <w:rsid w:val="006C2B65"/>
    <w:rsid w:val="006C4C61"/>
    <w:rsid w:val="006C522D"/>
    <w:rsid w:val="006C6EA1"/>
    <w:rsid w:val="006D0799"/>
    <w:rsid w:val="006D0F03"/>
    <w:rsid w:val="006D252D"/>
    <w:rsid w:val="006D26FA"/>
    <w:rsid w:val="006D3EB8"/>
    <w:rsid w:val="006D42D0"/>
    <w:rsid w:val="006D4ABB"/>
    <w:rsid w:val="006E3D61"/>
    <w:rsid w:val="006E6B4E"/>
    <w:rsid w:val="006E7A97"/>
    <w:rsid w:val="006F1257"/>
    <w:rsid w:val="00700072"/>
    <w:rsid w:val="007012BA"/>
    <w:rsid w:val="00702863"/>
    <w:rsid w:val="00705B5F"/>
    <w:rsid w:val="00705BC3"/>
    <w:rsid w:val="00705DA4"/>
    <w:rsid w:val="00706799"/>
    <w:rsid w:val="00706CFF"/>
    <w:rsid w:val="00707522"/>
    <w:rsid w:val="00710A01"/>
    <w:rsid w:val="00712980"/>
    <w:rsid w:val="00713ABB"/>
    <w:rsid w:val="00713F01"/>
    <w:rsid w:val="007143C3"/>
    <w:rsid w:val="0071453E"/>
    <w:rsid w:val="00716A16"/>
    <w:rsid w:val="007173A6"/>
    <w:rsid w:val="007235A6"/>
    <w:rsid w:val="0072485F"/>
    <w:rsid w:val="0073295D"/>
    <w:rsid w:val="00740D42"/>
    <w:rsid w:val="00742739"/>
    <w:rsid w:val="00744AAE"/>
    <w:rsid w:val="00744F4A"/>
    <w:rsid w:val="007463F6"/>
    <w:rsid w:val="00751B24"/>
    <w:rsid w:val="00751CDA"/>
    <w:rsid w:val="0075276B"/>
    <w:rsid w:val="00754496"/>
    <w:rsid w:val="00755EC0"/>
    <w:rsid w:val="0075632D"/>
    <w:rsid w:val="0076032C"/>
    <w:rsid w:val="00761239"/>
    <w:rsid w:val="00762126"/>
    <w:rsid w:val="00766721"/>
    <w:rsid w:val="007732DA"/>
    <w:rsid w:val="00781099"/>
    <w:rsid w:val="007832C3"/>
    <w:rsid w:val="0078361B"/>
    <w:rsid w:val="007842B4"/>
    <w:rsid w:val="007871D4"/>
    <w:rsid w:val="00787594"/>
    <w:rsid w:val="00790072"/>
    <w:rsid w:val="00796713"/>
    <w:rsid w:val="00796CBD"/>
    <w:rsid w:val="007A0696"/>
    <w:rsid w:val="007A4A06"/>
    <w:rsid w:val="007A53B0"/>
    <w:rsid w:val="007B1C7A"/>
    <w:rsid w:val="007B31F2"/>
    <w:rsid w:val="007B3DA8"/>
    <w:rsid w:val="007B4B08"/>
    <w:rsid w:val="007B53F9"/>
    <w:rsid w:val="007B6A5C"/>
    <w:rsid w:val="007B6D27"/>
    <w:rsid w:val="007C020E"/>
    <w:rsid w:val="007C2B1D"/>
    <w:rsid w:val="007C45B0"/>
    <w:rsid w:val="007C5FFD"/>
    <w:rsid w:val="007C6D19"/>
    <w:rsid w:val="007D1A76"/>
    <w:rsid w:val="007D2825"/>
    <w:rsid w:val="007D62ED"/>
    <w:rsid w:val="007D7BB1"/>
    <w:rsid w:val="007E0D15"/>
    <w:rsid w:val="007F0C40"/>
    <w:rsid w:val="007F66CD"/>
    <w:rsid w:val="007F6811"/>
    <w:rsid w:val="00800E1E"/>
    <w:rsid w:val="00807C6F"/>
    <w:rsid w:val="0081074D"/>
    <w:rsid w:val="008108E8"/>
    <w:rsid w:val="0081291B"/>
    <w:rsid w:val="00812DF8"/>
    <w:rsid w:val="00814415"/>
    <w:rsid w:val="00814765"/>
    <w:rsid w:val="008204B5"/>
    <w:rsid w:val="00820B47"/>
    <w:rsid w:val="00820F2C"/>
    <w:rsid w:val="00824140"/>
    <w:rsid w:val="0082549D"/>
    <w:rsid w:val="00827C89"/>
    <w:rsid w:val="008303E4"/>
    <w:rsid w:val="008329A5"/>
    <w:rsid w:val="00835314"/>
    <w:rsid w:val="0084640E"/>
    <w:rsid w:val="00847DB4"/>
    <w:rsid w:val="00852746"/>
    <w:rsid w:val="00855913"/>
    <w:rsid w:val="00857E38"/>
    <w:rsid w:val="00862EFD"/>
    <w:rsid w:val="00867A1B"/>
    <w:rsid w:val="008722DF"/>
    <w:rsid w:val="00873AC5"/>
    <w:rsid w:val="00876E2E"/>
    <w:rsid w:val="008774E5"/>
    <w:rsid w:val="00877565"/>
    <w:rsid w:val="008824CF"/>
    <w:rsid w:val="008872BA"/>
    <w:rsid w:val="00890210"/>
    <w:rsid w:val="00892F3A"/>
    <w:rsid w:val="00894763"/>
    <w:rsid w:val="008949FC"/>
    <w:rsid w:val="00895930"/>
    <w:rsid w:val="008A1E00"/>
    <w:rsid w:val="008A4160"/>
    <w:rsid w:val="008A4FF8"/>
    <w:rsid w:val="008B3528"/>
    <w:rsid w:val="008B3EE2"/>
    <w:rsid w:val="008B7191"/>
    <w:rsid w:val="008C749F"/>
    <w:rsid w:val="008D19FA"/>
    <w:rsid w:val="008D3BCA"/>
    <w:rsid w:val="008D48D6"/>
    <w:rsid w:val="008D59B4"/>
    <w:rsid w:val="008D7476"/>
    <w:rsid w:val="008E028E"/>
    <w:rsid w:val="008E2D03"/>
    <w:rsid w:val="008E5D7B"/>
    <w:rsid w:val="008E6142"/>
    <w:rsid w:val="008E7BEB"/>
    <w:rsid w:val="008F5021"/>
    <w:rsid w:val="008F5122"/>
    <w:rsid w:val="008F6F10"/>
    <w:rsid w:val="008F6F96"/>
    <w:rsid w:val="00904068"/>
    <w:rsid w:val="0090581E"/>
    <w:rsid w:val="0090691F"/>
    <w:rsid w:val="00910082"/>
    <w:rsid w:val="00911F87"/>
    <w:rsid w:val="00913439"/>
    <w:rsid w:val="00913C66"/>
    <w:rsid w:val="0091594A"/>
    <w:rsid w:val="009220BB"/>
    <w:rsid w:val="009221E5"/>
    <w:rsid w:val="00924562"/>
    <w:rsid w:val="0092496C"/>
    <w:rsid w:val="0092593E"/>
    <w:rsid w:val="009271B7"/>
    <w:rsid w:val="0093017D"/>
    <w:rsid w:val="009334FD"/>
    <w:rsid w:val="00934DF2"/>
    <w:rsid w:val="00936B2D"/>
    <w:rsid w:val="00937B27"/>
    <w:rsid w:val="0094452B"/>
    <w:rsid w:val="0094738D"/>
    <w:rsid w:val="00947B21"/>
    <w:rsid w:val="00951E2C"/>
    <w:rsid w:val="00955050"/>
    <w:rsid w:val="0095787C"/>
    <w:rsid w:val="00961E63"/>
    <w:rsid w:val="00964433"/>
    <w:rsid w:val="00966597"/>
    <w:rsid w:val="00967003"/>
    <w:rsid w:val="00967406"/>
    <w:rsid w:val="00974F08"/>
    <w:rsid w:val="009769C6"/>
    <w:rsid w:val="00977739"/>
    <w:rsid w:val="00980CE7"/>
    <w:rsid w:val="00983964"/>
    <w:rsid w:val="009851CB"/>
    <w:rsid w:val="00987340"/>
    <w:rsid w:val="009925BF"/>
    <w:rsid w:val="009A0FEB"/>
    <w:rsid w:val="009A6C2C"/>
    <w:rsid w:val="009B059D"/>
    <w:rsid w:val="009B2866"/>
    <w:rsid w:val="009C1B56"/>
    <w:rsid w:val="009C2B16"/>
    <w:rsid w:val="009C59D8"/>
    <w:rsid w:val="009C5FFA"/>
    <w:rsid w:val="009D1179"/>
    <w:rsid w:val="009D288E"/>
    <w:rsid w:val="009D40BE"/>
    <w:rsid w:val="009D64BB"/>
    <w:rsid w:val="009D7C5B"/>
    <w:rsid w:val="009E03DD"/>
    <w:rsid w:val="009E60FC"/>
    <w:rsid w:val="009F09FC"/>
    <w:rsid w:val="009F1CF0"/>
    <w:rsid w:val="009F60C1"/>
    <w:rsid w:val="00A00BBB"/>
    <w:rsid w:val="00A01A93"/>
    <w:rsid w:val="00A148D8"/>
    <w:rsid w:val="00A17A92"/>
    <w:rsid w:val="00A27633"/>
    <w:rsid w:val="00A33DF8"/>
    <w:rsid w:val="00A4200A"/>
    <w:rsid w:val="00A43826"/>
    <w:rsid w:val="00A45E8F"/>
    <w:rsid w:val="00A47361"/>
    <w:rsid w:val="00A523CC"/>
    <w:rsid w:val="00A546ED"/>
    <w:rsid w:val="00A60217"/>
    <w:rsid w:val="00A60931"/>
    <w:rsid w:val="00A61374"/>
    <w:rsid w:val="00A619DE"/>
    <w:rsid w:val="00A62428"/>
    <w:rsid w:val="00A66AAD"/>
    <w:rsid w:val="00A712EF"/>
    <w:rsid w:val="00A7197A"/>
    <w:rsid w:val="00A73140"/>
    <w:rsid w:val="00A73ED7"/>
    <w:rsid w:val="00A742F4"/>
    <w:rsid w:val="00A75761"/>
    <w:rsid w:val="00A768B2"/>
    <w:rsid w:val="00A81BE1"/>
    <w:rsid w:val="00A81FD7"/>
    <w:rsid w:val="00A829ED"/>
    <w:rsid w:val="00A8573C"/>
    <w:rsid w:val="00A947CB"/>
    <w:rsid w:val="00A9678E"/>
    <w:rsid w:val="00AA0FAC"/>
    <w:rsid w:val="00AB1126"/>
    <w:rsid w:val="00AB1FC1"/>
    <w:rsid w:val="00AB25F5"/>
    <w:rsid w:val="00AB4EEC"/>
    <w:rsid w:val="00AB64DE"/>
    <w:rsid w:val="00AB6F19"/>
    <w:rsid w:val="00AC04EE"/>
    <w:rsid w:val="00AC0FF6"/>
    <w:rsid w:val="00AC17FA"/>
    <w:rsid w:val="00AC32F9"/>
    <w:rsid w:val="00AD380C"/>
    <w:rsid w:val="00AD38CE"/>
    <w:rsid w:val="00AD3ACF"/>
    <w:rsid w:val="00AE045A"/>
    <w:rsid w:val="00AE1FD2"/>
    <w:rsid w:val="00AE2D7A"/>
    <w:rsid w:val="00AE3848"/>
    <w:rsid w:val="00AE42EC"/>
    <w:rsid w:val="00AE4F7C"/>
    <w:rsid w:val="00AE539F"/>
    <w:rsid w:val="00AF2495"/>
    <w:rsid w:val="00AF2749"/>
    <w:rsid w:val="00AF353D"/>
    <w:rsid w:val="00AF4AA4"/>
    <w:rsid w:val="00AF7E13"/>
    <w:rsid w:val="00B00ADD"/>
    <w:rsid w:val="00B00B91"/>
    <w:rsid w:val="00B07754"/>
    <w:rsid w:val="00B1425A"/>
    <w:rsid w:val="00B15BD1"/>
    <w:rsid w:val="00B161AD"/>
    <w:rsid w:val="00B21B82"/>
    <w:rsid w:val="00B222EB"/>
    <w:rsid w:val="00B238D8"/>
    <w:rsid w:val="00B25DBE"/>
    <w:rsid w:val="00B27B22"/>
    <w:rsid w:val="00B27D90"/>
    <w:rsid w:val="00B3135D"/>
    <w:rsid w:val="00B377B2"/>
    <w:rsid w:val="00B41391"/>
    <w:rsid w:val="00B4172D"/>
    <w:rsid w:val="00B538CF"/>
    <w:rsid w:val="00B55313"/>
    <w:rsid w:val="00B559AD"/>
    <w:rsid w:val="00B60727"/>
    <w:rsid w:val="00B619C7"/>
    <w:rsid w:val="00B67D94"/>
    <w:rsid w:val="00B700EF"/>
    <w:rsid w:val="00B7066A"/>
    <w:rsid w:val="00B71542"/>
    <w:rsid w:val="00B74A60"/>
    <w:rsid w:val="00B75BE8"/>
    <w:rsid w:val="00B824C4"/>
    <w:rsid w:val="00B85D8C"/>
    <w:rsid w:val="00B947A5"/>
    <w:rsid w:val="00B96DC1"/>
    <w:rsid w:val="00B97F83"/>
    <w:rsid w:val="00BA2020"/>
    <w:rsid w:val="00BA2DDE"/>
    <w:rsid w:val="00BA2F57"/>
    <w:rsid w:val="00BA3F4B"/>
    <w:rsid w:val="00BA67E9"/>
    <w:rsid w:val="00BB05A4"/>
    <w:rsid w:val="00BB3311"/>
    <w:rsid w:val="00BB4211"/>
    <w:rsid w:val="00BB55B5"/>
    <w:rsid w:val="00BB7952"/>
    <w:rsid w:val="00BB7E91"/>
    <w:rsid w:val="00BC0DAD"/>
    <w:rsid w:val="00BC11F4"/>
    <w:rsid w:val="00BC1FBC"/>
    <w:rsid w:val="00BC303B"/>
    <w:rsid w:val="00BC548E"/>
    <w:rsid w:val="00BE0CE4"/>
    <w:rsid w:val="00BE3089"/>
    <w:rsid w:val="00BE3A45"/>
    <w:rsid w:val="00BE46CF"/>
    <w:rsid w:val="00BE4D4B"/>
    <w:rsid w:val="00BE4E6E"/>
    <w:rsid w:val="00BF0746"/>
    <w:rsid w:val="00BF14CC"/>
    <w:rsid w:val="00BF658E"/>
    <w:rsid w:val="00BF6972"/>
    <w:rsid w:val="00C1041A"/>
    <w:rsid w:val="00C1171C"/>
    <w:rsid w:val="00C2110F"/>
    <w:rsid w:val="00C21837"/>
    <w:rsid w:val="00C311B7"/>
    <w:rsid w:val="00C3154B"/>
    <w:rsid w:val="00C3267B"/>
    <w:rsid w:val="00C3325A"/>
    <w:rsid w:val="00C33264"/>
    <w:rsid w:val="00C50EB7"/>
    <w:rsid w:val="00C51093"/>
    <w:rsid w:val="00C5699A"/>
    <w:rsid w:val="00C6039E"/>
    <w:rsid w:val="00C607A2"/>
    <w:rsid w:val="00C60C8C"/>
    <w:rsid w:val="00C621FC"/>
    <w:rsid w:val="00C67AEB"/>
    <w:rsid w:val="00C67C8C"/>
    <w:rsid w:val="00C70EE1"/>
    <w:rsid w:val="00C76C5C"/>
    <w:rsid w:val="00C802DC"/>
    <w:rsid w:val="00C80C4D"/>
    <w:rsid w:val="00C812FA"/>
    <w:rsid w:val="00C828CD"/>
    <w:rsid w:val="00C8572E"/>
    <w:rsid w:val="00C87246"/>
    <w:rsid w:val="00C948E3"/>
    <w:rsid w:val="00C964AD"/>
    <w:rsid w:val="00C97FF5"/>
    <w:rsid w:val="00CA489A"/>
    <w:rsid w:val="00CA4B80"/>
    <w:rsid w:val="00CA6D83"/>
    <w:rsid w:val="00CB4608"/>
    <w:rsid w:val="00CB56BD"/>
    <w:rsid w:val="00CC0429"/>
    <w:rsid w:val="00CC5301"/>
    <w:rsid w:val="00CD1466"/>
    <w:rsid w:val="00CD1F47"/>
    <w:rsid w:val="00CD26E1"/>
    <w:rsid w:val="00CD42C6"/>
    <w:rsid w:val="00CD4FA8"/>
    <w:rsid w:val="00CD6B89"/>
    <w:rsid w:val="00CE26CB"/>
    <w:rsid w:val="00CE2CDA"/>
    <w:rsid w:val="00CE7DA1"/>
    <w:rsid w:val="00CF181B"/>
    <w:rsid w:val="00CF27B2"/>
    <w:rsid w:val="00CF65A3"/>
    <w:rsid w:val="00D00528"/>
    <w:rsid w:val="00D05C00"/>
    <w:rsid w:val="00D1309B"/>
    <w:rsid w:val="00D141D7"/>
    <w:rsid w:val="00D15A19"/>
    <w:rsid w:val="00D175CF"/>
    <w:rsid w:val="00D2049B"/>
    <w:rsid w:val="00D2266B"/>
    <w:rsid w:val="00D24422"/>
    <w:rsid w:val="00D302F0"/>
    <w:rsid w:val="00D309A0"/>
    <w:rsid w:val="00D3268D"/>
    <w:rsid w:val="00D330F4"/>
    <w:rsid w:val="00D3475D"/>
    <w:rsid w:val="00D34AB7"/>
    <w:rsid w:val="00D43126"/>
    <w:rsid w:val="00D435EE"/>
    <w:rsid w:val="00D45D3D"/>
    <w:rsid w:val="00D46859"/>
    <w:rsid w:val="00D57F07"/>
    <w:rsid w:val="00D6186A"/>
    <w:rsid w:val="00D63698"/>
    <w:rsid w:val="00D64B06"/>
    <w:rsid w:val="00D64C48"/>
    <w:rsid w:val="00D6582D"/>
    <w:rsid w:val="00D72163"/>
    <w:rsid w:val="00D763B7"/>
    <w:rsid w:val="00D77055"/>
    <w:rsid w:val="00D77345"/>
    <w:rsid w:val="00D8202F"/>
    <w:rsid w:val="00D91FF4"/>
    <w:rsid w:val="00D92EE4"/>
    <w:rsid w:val="00D93E34"/>
    <w:rsid w:val="00D94DC9"/>
    <w:rsid w:val="00DA1B87"/>
    <w:rsid w:val="00DA4F1A"/>
    <w:rsid w:val="00DA730B"/>
    <w:rsid w:val="00DA7B16"/>
    <w:rsid w:val="00DA7C25"/>
    <w:rsid w:val="00DB0093"/>
    <w:rsid w:val="00DB1D60"/>
    <w:rsid w:val="00DB449E"/>
    <w:rsid w:val="00DB4521"/>
    <w:rsid w:val="00DB7D7C"/>
    <w:rsid w:val="00DC0373"/>
    <w:rsid w:val="00DC1055"/>
    <w:rsid w:val="00DC192A"/>
    <w:rsid w:val="00DC6811"/>
    <w:rsid w:val="00DD052D"/>
    <w:rsid w:val="00DD2953"/>
    <w:rsid w:val="00DD3271"/>
    <w:rsid w:val="00DD4924"/>
    <w:rsid w:val="00DE0B0A"/>
    <w:rsid w:val="00DE0DEB"/>
    <w:rsid w:val="00DE4114"/>
    <w:rsid w:val="00DE60AE"/>
    <w:rsid w:val="00DE62D3"/>
    <w:rsid w:val="00DE63CF"/>
    <w:rsid w:val="00DE7F8E"/>
    <w:rsid w:val="00DF0757"/>
    <w:rsid w:val="00DF09F9"/>
    <w:rsid w:val="00DF157C"/>
    <w:rsid w:val="00DF261B"/>
    <w:rsid w:val="00DF4E13"/>
    <w:rsid w:val="00DF77B2"/>
    <w:rsid w:val="00DF7FC6"/>
    <w:rsid w:val="00E033EE"/>
    <w:rsid w:val="00E03EA9"/>
    <w:rsid w:val="00E058D2"/>
    <w:rsid w:val="00E070FB"/>
    <w:rsid w:val="00E07F03"/>
    <w:rsid w:val="00E10CF1"/>
    <w:rsid w:val="00E13370"/>
    <w:rsid w:val="00E16198"/>
    <w:rsid w:val="00E17B10"/>
    <w:rsid w:val="00E2132E"/>
    <w:rsid w:val="00E21574"/>
    <w:rsid w:val="00E25B7E"/>
    <w:rsid w:val="00E25CD7"/>
    <w:rsid w:val="00E26B83"/>
    <w:rsid w:val="00E26BA8"/>
    <w:rsid w:val="00E26E22"/>
    <w:rsid w:val="00E27521"/>
    <w:rsid w:val="00E27A8B"/>
    <w:rsid w:val="00E34CB2"/>
    <w:rsid w:val="00E3524D"/>
    <w:rsid w:val="00E36217"/>
    <w:rsid w:val="00E442D7"/>
    <w:rsid w:val="00E444F3"/>
    <w:rsid w:val="00E51C0E"/>
    <w:rsid w:val="00E652A9"/>
    <w:rsid w:val="00E672CE"/>
    <w:rsid w:val="00E6746A"/>
    <w:rsid w:val="00E73377"/>
    <w:rsid w:val="00E741CF"/>
    <w:rsid w:val="00E830CF"/>
    <w:rsid w:val="00E84B54"/>
    <w:rsid w:val="00E875C9"/>
    <w:rsid w:val="00E97083"/>
    <w:rsid w:val="00EA4FF3"/>
    <w:rsid w:val="00EA5CEE"/>
    <w:rsid w:val="00EA79D5"/>
    <w:rsid w:val="00EB00C7"/>
    <w:rsid w:val="00EB2BBE"/>
    <w:rsid w:val="00EB565C"/>
    <w:rsid w:val="00EB64B6"/>
    <w:rsid w:val="00EB7273"/>
    <w:rsid w:val="00ED1CF5"/>
    <w:rsid w:val="00ED31C9"/>
    <w:rsid w:val="00ED53B6"/>
    <w:rsid w:val="00ED686A"/>
    <w:rsid w:val="00EE04D0"/>
    <w:rsid w:val="00EE0A47"/>
    <w:rsid w:val="00EE4211"/>
    <w:rsid w:val="00EE7AEF"/>
    <w:rsid w:val="00EF28C2"/>
    <w:rsid w:val="00EF38DD"/>
    <w:rsid w:val="00EF7ED8"/>
    <w:rsid w:val="00F028BE"/>
    <w:rsid w:val="00F0586A"/>
    <w:rsid w:val="00F063E9"/>
    <w:rsid w:val="00F105B6"/>
    <w:rsid w:val="00F114DB"/>
    <w:rsid w:val="00F13267"/>
    <w:rsid w:val="00F13BDC"/>
    <w:rsid w:val="00F15BF5"/>
    <w:rsid w:val="00F15C7B"/>
    <w:rsid w:val="00F22F02"/>
    <w:rsid w:val="00F254AD"/>
    <w:rsid w:val="00F265AB"/>
    <w:rsid w:val="00F26AAE"/>
    <w:rsid w:val="00F31011"/>
    <w:rsid w:val="00F33188"/>
    <w:rsid w:val="00F33B8F"/>
    <w:rsid w:val="00F34505"/>
    <w:rsid w:val="00F36A4D"/>
    <w:rsid w:val="00F40767"/>
    <w:rsid w:val="00F44A8A"/>
    <w:rsid w:val="00F53E4C"/>
    <w:rsid w:val="00F619C8"/>
    <w:rsid w:val="00F64DA9"/>
    <w:rsid w:val="00F66BB9"/>
    <w:rsid w:val="00F71634"/>
    <w:rsid w:val="00F752EA"/>
    <w:rsid w:val="00F80AF7"/>
    <w:rsid w:val="00F82D52"/>
    <w:rsid w:val="00F83112"/>
    <w:rsid w:val="00F86F64"/>
    <w:rsid w:val="00F91226"/>
    <w:rsid w:val="00F92C0A"/>
    <w:rsid w:val="00FA0394"/>
    <w:rsid w:val="00FB1070"/>
    <w:rsid w:val="00FB27DA"/>
    <w:rsid w:val="00FB3096"/>
    <w:rsid w:val="00FB3763"/>
    <w:rsid w:val="00FC072A"/>
    <w:rsid w:val="00FC0ECC"/>
    <w:rsid w:val="00FC3BB1"/>
    <w:rsid w:val="00FC4547"/>
    <w:rsid w:val="00FD23C2"/>
    <w:rsid w:val="00FD25CA"/>
    <w:rsid w:val="00FD38F9"/>
    <w:rsid w:val="00FD40F0"/>
    <w:rsid w:val="00FD52E9"/>
    <w:rsid w:val="00FD6FDD"/>
    <w:rsid w:val="00FD7ED7"/>
    <w:rsid w:val="00FE0C65"/>
    <w:rsid w:val="00FE33D9"/>
    <w:rsid w:val="00FE5EF3"/>
    <w:rsid w:val="00FF22D6"/>
    <w:rsid w:val="00FF6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01"/>
    <o:shapelayout v:ext="edit">
      <o:idmap v:ext="edit" data="1"/>
    </o:shapelayout>
  </w:shapeDefaults>
  <w:decimalSymbol w:val=","/>
  <w:listSeparator w:val=";"/>
  <w14:docId w14:val="70B12CCD"/>
  <w15:docId w15:val="{3206FE71-89CF-472D-82E5-57D695AD5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036B56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uiPriority w:val="99"/>
    <w:rsid w:val="00036B56"/>
    <w:pPr>
      <w:autoSpaceDE w:val="0"/>
      <w:autoSpaceDN w:val="0"/>
      <w:adjustRightInd w:val="0"/>
      <w:spacing w:after="0" w:line="560" w:lineRule="atLeast"/>
      <w:textAlignment w:val="center"/>
    </w:pPr>
    <w:rPr>
      <w:rFonts w:ascii="Arial Black" w:hAnsi="Arial Black" w:cs="Arial Black"/>
      <w:color w:val="000000"/>
      <w:sz w:val="46"/>
      <w:szCs w:val="46"/>
    </w:rPr>
  </w:style>
  <w:style w:type="character" w:styleId="Odkaznakoment">
    <w:name w:val="annotation reference"/>
    <w:uiPriority w:val="99"/>
    <w:semiHidden/>
    <w:unhideWhenUsed/>
    <w:rsid w:val="00036B56"/>
    <w:rPr>
      <w:sz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36B5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36B56"/>
    <w:rPr>
      <w:rFonts w:ascii="Calibri" w:eastAsia="Times New Roman" w:hAnsi="Calibri" w:cs="Times New Roman"/>
      <w:sz w:val="20"/>
      <w:szCs w:val="20"/>
    </w:rPr>
  </w:style>
  <w:style w:type="character" w:styleId="Hypertextovodkaz">
    <w:name w:val="Hyperlink"/>
    <w:uiPriority w:val="99"/>
    <w:unhideWhenUsed/>
    <w:rsid w:val="00036B5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6B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6B56"/>
    <w:rPr>
      <w:rFonts w:ascii="Segoe UI" w:eastAsia="Times New Roman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C100F"/>
    <w:pPr>
      <w:spacing w:line="240" w:lineRule="auto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C100F"/>
    <w:rPr>
      <w:rFonts w:ascii="Calibri" w:eastAsia="Times New Roman" w:hAnsi="Calibri" w:cs="Times New Roman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655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5B14"/>
    <w:rPr>
      <w:rFonts w:ascii="Calibri" w:eastAsia="Times New Roman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655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5B14"/>
    <w:rPr>
      <w:rFonts w:ascii="Calibri" w:eastAsia="Times New Roman" w:hAnsi="Calibri" w:cs="Times New Roman"/>
    </w:rPr>
  </w:style>
  <w:style w:type="character" w:styleId="Siln">
    <w:name w:val="Strong"/>
    <w:basedOn w:val="Standardnpsmoodstavce"/>
    <w:uiPriority w:val="22"/>
    <w:qFormat/>
    <w:rsid w:val="00827C89"/>
    <w:rPr>
      <w:b/>
      <w:bCs/>
    </w:rPr>
  </w:style>
  <w:style w:type="table" w:styleId="Mkatabulky">
    <w:name w:val="Table Grid"/>
    <w:basedOn w:val="Normlntabulka"/>
    <w:uiPriority w:val="39"/>
    <w:rsid w:val="00744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44A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6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4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4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4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3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0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0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9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3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0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3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6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5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0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yperlink" Target="http://www.central-group.cz/proc-central-grou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entral-group.cz/tiskove-zpravy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jemelka\AppData\Local\Temp\www.central-group.c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edia@central-group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FILE\Marketing\PR%20CENTRAL%20GROUP\TISKOV&#201;%20ZPR&#193;VY\2017\02-&#218;nor\tz-grafy-CG-archivy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2000" b="0" i="0" u="none" strike="noStrike" kern="1200" spc="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r>
              <a:rPr lang="cs-CZ" sz="1100" b="1" i="0" baseline="0">
                <a:effectLst/>
              </a:rPr>
              <a:t>Vývoj průměrné výměry vnitřní podlahové plochy prodaných bytů středního segmentu Central Group podle dispozic (m</a:t>
            </a:r>
            <a:r>
              <a:rPr lang="cs-CZ" sz="1100" b="1" i="0" baseline="30000">
                <a:effectLst/>
              </a:rPr>
              <a:t>2</a:t>
            </a:r>
            <a:r>
              <a:rPr lang="cs-CZ" sz="1100" b="1" i="0" baseline="0">
                <a:effectLst/>
              </a:rPr>
              <a:t>)</a:t>
            </a:r>
            <a:endParaRPr lang="cs-CZ" sz="1100">
              <a:effectLst/>
            </a:endParaRPr>
          </a:p>
        </c:rich>
      </c:tx>
      <c:layout>
        <c:manualLayout>
          <c:xMode val="edge"/>
          <c:yMode val="edge"/>
          <c:x val="0.13565937228297473"/>
          <c:y val="1.4129964523665311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4.1576720718129415E-2"/>
          <c:y val="0.16408633995377445"/>
          <c:w val="0.97709911150454087"/>
          <c:h val="0.77196780893042571"/>
        </c:manualLayout>
      </c:layout>
      <c:lineChart>
        <c:grouping val="standard"/>
        <c:varyColors val="0"/>
        <c:ser>
          <c:idx val="0"/>
          <c:order val="0"/>
          <c:tx>
            <c:strRef>
              <c:f>byty!$A$9</c:f>
              <c:strCache>
                <c:ptCount val="1"/>
                <c:pt idx="0">
                  <c:v>1+kk</c:v>
                </c:pt>
              </c:strCache>
            </c:strRef>
          </c:tx>
          <c:spPr>
            <a:ln w="41275"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>
                    <a:solidFill>
                      <a:schemeClr val="accent1"/>
                    </a:solidFill>
                  </a:defRPr>
                </a:pPr>
                <a:endParaRPr lang="cs-CZ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byty!$F$1:$S$1</c:f>
              <c:strCache>
                <c:ptCount val="14"/>
                <c:pt idx="0">
                  <c:v>H1/2010</c:v>
                </c:pt>
                <c:pt idx="1">
                  <c:v>H2/2010</c:v>
                </c:pt>
                <c:pt idx="2">
                  <c:v>H1/2011</c:v>
                </c:pt>
                <c:pt idx="3">
                  <c:v>H2/2011</c:v>
                </c:pt>
                <c:pt idx="4">
                  <c:v>H1/2012</c:v>
                </c:pt>
                <c:pt idx="5">
                  <c:v>H2/2012</c:v>
                </c:pt>
                <c:pt idx="6">
                  <c:v>H1/2013</c:v>
                </c:pt>
                <c:pt idx="7">
                  <c:v>H2/2013</c:v>
                </c:pt>
                <c:pt idx="8">
                  <c:v>H1/2014</c:v>
                </c:pt>
                <c:pt idx="9">
                  <c:v>H2/2014</c:v>
                </c:pt>
                <c:pt idx="10">
                  <c:v>H1/2015</c:v>
                </c:pt>
                <c:pt idx="11">
                  <c:v>H2/2015</c:v>
                </c:pt>
                <c:pt idx="12">
                  <c:v>H1/2016</c:v>
                </c:pt>
                <c:pt idx="13">
                  <c:v>H2/2016</c:v>
                </c:pt>
              </c:strCache>
            </c:strRef>
          </c:cat>
          <c:val>
            <c:numRef>
              <c:f>byty!$F$9:$S$9</c:f>
              <c:numCache>
                <c:formatCode>General</c:formatCode>
                <c:ptCount val="14"/>
                <c:pt idx="0">
                  <c:v>32</c:v>
                </c:pt>
                <c:pt idx="1">
                  <c:v>32</c:v>
                </c:pt>
                <c:pt idx="2">
                  <c:v>33</c:v>
                </c:pt>
                <c:pt idx="3">
                  <c:v>33</c:v>
                </c:pt>
                <c:pt idx="4">
                  <c:v>34</c:v>
                </c:pt>
                <c:pt idx="5">
                  <c:v>33</c:v>
                </c:pt>
                <c:pt idx="6">
                  <c:v>33</c:v>
                </c:pt>
                <c:pt idx="7">
                  <c:v>34</c:v>
                </c:pt>
                <c:pt idx="8">
                  <c:v>33</c:v>
                </c:pt>
                <c:pt idx="9">
                  <c:v>34</c:v>
                </c:pt>
                <c:pt idx="10">
                  <c:v>34</c:v>
                </c:pt>
                <c:pt idx="11">
                  <c:v>36</c:v>
                </c:pt>
                <c:pt idx="12">
                  <c:v>36</c:v>
                </c:pt>
                <c:pt idx="13">
                  <c:v>34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7A51-46CF-B9A9-5FF399BE1B27}"/>
            </c:ext>
          </c:extLst>
        </c:ser>
        <c:ser>
          <c:idx val="1"/>
          <c:order val="1"/>
          <c:tx>
            <c:strRef>
              <c:f>byty!$A$10</c:f>
              <c:strCache>
                <c:ptCount val="1"/>
                <c:pt idx="0">
                  <c:v>2+kk</c:v>
                </c:pt>
              </c:strCache>
            </c:strRef>
          </c:tx>
          <c:spPr>
            <a:ln w="41275"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>
                    <a:solidFill>
                      <a:schemeClr val="accent2"/>
                    </a:solidFill>
                  </a:defRPr>
                </a:pPr>
                <a:endParaRPr lang="cs-CZ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byty!$F$1:$S$1</c:f>
              <c:strCache>
                <c:ptCount val="14"/>
                <c:pt idx="0">
                  <c:v>H1/2010</c:v>
                </c:pt>
                <c:pt idx="1">
                  <c:v>H2/2010</c:v>
                </c:pt>
                <c:pt idx="2">
                  <c:v>H1/2011</c:v>
                </c:pt>
                <c:pt idx="3">
                  <c:v>H2/2011</c:v>
                </c:pt>
                <c:pt idx="4">
                  <c:v>H1/2012</c:v>
                </c:pt>
                <c:pt idx="5">
                  <c:v>H2/2012</c:v>
                </c:pt>
                <c:pt idx="6">
                  <c:v>H1/2013</c:v>
                </c:pt>
                <c:pt idx="7">
                  <c:v>H2/2013</c:v>
                </c:pt>
                <c:pt idx="8">
                  <c:v>H1/2014</c:v>
                </c:pt>
                <c:pt idx="9">
                  <c:v>H2/2014</c:v>
                </c:pt>
                <c:pt idx="10">
                  <c:v>H1/2015</c:v>
                </c:pt>
                <c:pt idx="11">
                  <c:v>H2/2015</c:v>
                </c:pt>
                <c:pt idx="12">
                  <c:v>H1/2016</c:v>
                </c:pt>
                <c:pt idx="13">
                  <c:v>H2/2016</c:v>
                </c:pt>
              </c:strCache>
            </c:strRef>
          </c:cat>
          <c:val>
            <c:numRef>
              <c:f>byty!$F$10:$S$10</c:f>
              <c:numCache>
                <c:formatCode>General</c:formatCode>
                <c:ptCount val="14"/>
                <c:pt idx="0">
                  <c:v>55</c:v>
                </c:pt>
                <c:pt idx="1">
                  <c:v>56</c:v>
                </c:pt>
                <c:pt idx="2">
                  <c:v>57</c:v>
                </c:pt>
                <c:pt idx="3">
                  <c:v>56</c:v>
                </c:pt>
                <c:pt idx="4">
                  <c:v>56</c:v>
                </c:pt>
                <c:pt idx="5">
                  <c:v>56</c:v>
                </c:pt>
                <c:pt idx="6">
                  <c:v>55</c:v>
                </c:pt>
                <c:pt idx="7">
                  <c:v>54</c:v>
                </c:pt>
                <c:pt idx="8">
                  <c:v>56</c:v>
                </c:pt>
                <c:pt idx="9">
                  <c:v>58</c:v>
                </c:pt>
                <c:pt idx="10">
                  <c:v>59</c:v>
                </c:pt>
                <c:pt idx="11">
                  <c:v>58</c:v>
                </c:pt>
                <c:pt idx="12">
                  <c:v>59</c:v>
                </c:pt>
                <c:pt idx="13">
                  <c:v>61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7A51-46CF-B9A9-5FF399BE1B27}"/>
            </c:ext>
          </c:extLst>
        </c:ser>
        <c:ser>
          <c:idx val="2"/>
          <c:order val="2"/>
          <c:tx>
            <c:strRef>
              <c:f>byty!$A$11</c:f>
              <c:strCache>
                <c:ptCount val="1"/>
                <c:pt idx="0">
                  <c:v>3+kk</c:v>
                </c:pt>
              </c:strCache>
            </c:strRef>
          </c:tx>
          <c:spPr>
            <a:ln w="41275">
              <a:solidFill>
                <a:srgbClr val="00B050"/>
              </a:solidFill>
            </a:ln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>
                    <a:solidFill>
                      <a:srgbClr val="00B050"/>
                    </a:solidFill>
                  </a:defRPr>
                </a:pPr>
                <a:endParaRPr lang="cs-CZ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byty!$F$1:$S$1</c:f>
              <c:strCache>
                <c:ptCount val="14"/>
                <c:pt idx="0">
                  <c:v>H1/2010</c:v>
                </c:pt>
                <c:pt idx="1">
                  <c:v>H2/2010</c:v>
                </c:pt>
                <c:pt idx="2">
                  <c:v>H1/2011</c:v>
                </c:pt>
                <c:pt idx="3">
                  <c:v>H2/2011</c:v>
                </c:pt>
                <c:pt idx="4">
                  <c:v>H1/2012</c:v>
                </c:pt>
                <c:pt idx="5">
                  <c:v>H2/2012</c:v>
                </c:pt>
                <c:pt idx="6">
                  <c:v>H1/2013</c:v>
                </c:pt>
                <c:pt idx="7">
                  <c:v>H2/2013</c:v>
                </c:pt>
                <c:pt idx="8">
                  <c:v>H1/2014</c:v>
                </c:pt>
                <c:pt idx="9">
                  <c:v>H2/2014</c:v>
                </c:pt>
                <c:pt idx="10">
                  <c:v>H1/2015</c:v>
                </c:pt>
                <c:pt idx="11">
                  <c:v>H2/2015</c:v>
                </c:pt>
                <c:pt idx="12">
                  <c:v>H1/2016</c:v>
                </c:pt>
                <c:pt idx="13">
                  <c:v>H2/2016</c:v>
                </c:pt>
              </c:strCache>
            </c:strRef>
          </c:cat>
          <c:val>
            <c:numRef>
              <c:f>byty!$F$11:$S$11</c:f>
              <c:numCache>
                <c:formatCode>General</c:formatCode>
                <c:ptCount val="14"/>
                <c:pt idx="0">
                  <c:v>82</c:v>
                </c:pt>
                <c:pt idx="1">
                  <c:v>81</c:v>
                </c:pt>
                <c:pt idx="2">
                  <c:v>81</c:v>
                </c:pt>
                <c:pt idx="3">
                  <c:v>83</c:v>
                </c:pt>
                <c:pt idx="4">
                  <c:v>79</c:v>
                </c:pt>
                <c:pt idx="5">
                  <c:v>80</c:v>
                </c:pt>
                <c:pt idx="6">
                  <c:v>81</c:v>
                </c:pt>
                <c:pt idx="7">
                  <c:v>83</c:v>
                </c:pt>
                <c:pt idx="8">
                  <c:v>83</c:v>
                </c:pt>
                <c:pt idx="9">
                  <c:v>85</c:v>
                </c:pt>
                <c:pt idx="10">
                  <c:v>83</c:v>
                </c:pt>
                <c:pt idx="11">
                  <c:v>82</c:v>
                </c:pt>
                <c:pt idx="12">
                  <c:v>78</c:v>
                </c:pt>
                <c:pt idx="13">
                  <c:v>78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7A51-46CF-B9A9-5FF399BE1B27}"/>
            </c:ext>
          </c:extLst>
        </c:ser>
        <c:ser>
          <c:idx val="3"/>
          <c:order val="3"/>
          <c:tx>
            <c:strRef>
              <c:f>byty!$A$12</c:f>
              <c:strCache>
                <c:ptCount val="1"/>
                <c:pt idx="0">
                  <c:v>4+kk</c:v>
                </c:pt>
              </c:strCache>
            </c:strRef>
          </c:tx>
          <c:spPr>
            <a:ln w="41275"/>
          </c:spPr>
          <c:marker>
            <c:symbol val="none"/>
          </c:marker>
          <c:dLbls>
            <c:dLbl>
              <c:idx val="1"/>
              <c:layout>
                <c:manualLayout>
                  <c:x val="-2.7675723819604803E-2"/>
                  <c:y val="-4.687027147307516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7A51-46CF-B9A9-5FF399BE1B27}"/>
                </c:ext>
              </c:extLst>
            </c:dLbl>
            <c:dLbl>
              <c:idx val="3"/>
              <c:layout>
                <c:manualLayout>
                  <c:x val="-3.9444064925674246E-2"/>
                  <c:y val="-4.974762770038360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7A51-46CF-B9A9-5FF399BE1B2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>
                    <a:solidFill>
                      <a:srgbClr val="FFC000"/>
                    </a:solidFill>
                  </a:defRPr>
                </a:pPr>
                <a:endParaRPr lang="cs-CZ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byty!$F$1:$S$1</c:f>
              <c:strCache>
                <c:ptCount val="14"/>
                <c:pt idx="0">
                  <c:v>H1/2010</c:v>
                </c:pt>
                <c:pt idx="1">
                  <c:v>H2/2010</c:v>
                </c:pt>
                <c:pt idx="2">
                  <c:v>H1/2011</c:v>
                </c:pt>
                <c:pt idx="3">
                  <c:v>H2/2011</c:v>
                </c:pt>
                <c:pt idx="4">
                  <c:v>H1/2012</c:v>
                </c:pt>
                <c:pt idx="5">
                  <c:v>H2/2012</c:v>
                </c:pt>
                <c:pt idx="6">
                  <c:v>H1/2013</c:v>
                </c:pt>
                <c:pt idx="7">
                  <c:v>H2/2013</c:v>
                </c:pt>
                <c:pt idx="8">
                  <c:v>H1/2014</c:v>
                </c:pt>
                <c:pt idx="9">
                  <c:v>H2/2014</c:v>
                </c:pt>
                <c:pt idx="10">
                  <c:v>H1/2015</c:v>
                </c:pt>
                <c:pt idx="11">
                  <c:v>H2/2015</c:v>
                </c:pt>
                <c:pt idx="12">
                  <c:v>H1/2016</c:v>
                </c:pt>
                <c:pt idx="13">
                  <c:v>H2/2016</c:v>
                </c:pt>
              </c:strCache>
            </c:strRef>
          </c:cat>
          <c:val>
            <c:numRef>
              <c:f>byty!$F$12:$S$12</c:f>
              <c:numCache>
                <c:formatCode>General</c:formatCode>
                <c:ptCount val="14"/>
                <c:pt idx="0">
                  <c:v>108</c:v>
                </c:pt>
                <c:pt idx="1">
                  <c:v>105</c:v>
                </c:pt>
                <c:pt idx="2">
                  <c:v>109</c:v>
                </c:pt>
                <c:pt idx="3">
                  <c:v>104</c:v>
                </c:pt>
                <c:pt idx="4">
                  <c:v>104</c:v>
                </c:pt>
                <c:pt idx="5">
                  <c:v>103</c:v>
                </c:pt>
                <c:pt idx="6">
                  <c:v>102</c:v>
                </c:pt>
                <c:pt idx="7">
                  <c:v>101</c:v>
                </c:pt>
                <c:pt idx="8">
                  <c:v>105</c:v>
                </c:pt>
                <c:pt idx="9">
                  <c:v>98</c:v>
                </c:pt>
                <c:pt idx="10">
                  <c:v>98</c:v>
                </c:pt>
                <c:pt idx="11">
                  <c:v>101</c:v>
                </c:pt>
                <c:pt idx="12">
                  <c:v>99</c:v>
                </c:pt>
                <c:pt idx="13">
                  <c:v>99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7A51-46CF-B9A9-5FF399BE1B27}"/>
            </c:ext>
          </c:extLst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smooth val="0"/>
        <c:axId val="170939904"/>
        <c:axId val="170941440"/>
      </c:lineChart>
      <c:catAx>
        <c:axId val="1709399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170941440"/>
        <c:crosses val="autoZero"/>
        <c:auto val="1"/>
        <c:lblAlgn val="ctr"/>
        <c:lblOffset val="100"/>
        <c:noMultiLvlLbl val="0"/>
      </c:catAx>
      <c:valAx>
        <c:axId val="170941440"/>
        <c:scaling>
          <c:orientation val="minMax"/>
          <c:max val="130"/>
          <c:min val="30"/>
        </c:scaling>
        <c:delete val="1"/>
        <c:axPos val="l"/>
        <c:numFmt formatCode="General" sourceLinked="1"/>
        <c:majorTickMark val="none"/>
        <c:minorTickMark val="none"/>
        <c:tickLblPos val="nextTo"/>
        <c:crossAx val="1709399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0.25030553140421991"/>
          <c:y val="0.14695149087672452"/>
          <c:w val="0.46115248813182957"/>
          <c:h val="5.059375463581070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baseline="0">
              <a:solidFill>
                <a:schemeClr val="tx1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ysClr val="window" lastClr="FFFFFF"/>
    </a:solidFill>
    <a:ln w="9525" cap="flat" cmpd="sng" algn="ctr">
      <a:noFill/>
      <a:round/>
    </a:ln>
    <a:effectLst/>
  </c:spPr>
  <c:txPr>
    <a:bodyPr/>
    <a:lstStyle/>
    <a:p>
      <a:pPr>
        <a:defRPr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878970-C150-4449-9341-6262FD3EF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722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jankovsky</dc:creator>
  <cp:lastModifiedBy>fialkova</cp:lastModifiedBy>
  <cp:revision>12</cp:revision>
  <cp:lastPrinted>2017-01-04T09:09:00Z</cp:lastPrinted>
  <dcterms:created xsi:type="dcterms:W3CDTF">2017-01-06T10:23:00Z</dcterms:created>
  <dcterms:modified xsi:type="dcterms:W3CDTF">2017-03-16T09:12:00Z</dcterms:modified>
</cp:coreProperties>
</file>