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5A4" w:rsidRPr="00BB05A4" w:rsidRDefault="00BB05A4" w:rsidP="00BB05A4">
      <w:pPr>
        <w:spacing w:after="0"/>
        <w:rPr>
          <w:rFonts w:ascii="Arial Black" w:hAnsi="Arial Black"/>
          <w:color w:val="000000" w:themeColor="text1"/>
          <w:sz w:val="32"/>
          <w:szCs w:val="32"/>
        </w:rPr>
      </w:pPr>
    </w:p>
    <w:p w:rsidR="00C70EE1" w:rsidRDefault="00BB05A4" w:rsidP="00BB05A4">
      <w:pPr>
        <w:spacing w:after="0"/>
      </w:pPr>
      <w:r w:rsidRPr="00BB05A4">
        <w:rPr>
          <w:rFonts w:ascii="Arial Black" w:hAnsi="Arial Black"/>
          <w:color w:val="000000" w:themeColor="text1"/>
          <w:sz w:val="32"/>
          <w:szCs w:val="32"/>
        </w:rPr>
        <w:t xml:space="preserve">CENTRAL GROUP zahajuje velkou podzimní nabídku, </w:t>
      </w:r>
      <w:r>
        <w:rPr>
          <w:rFonts w:ascii="Arial Black" w:hAnsi="Arial Black"/>
          <w:color w:val="000000" w:themeColor="text1"/>
          <w:sz w:val="32"/>
          <w:szCs w:val="32"/>
        </w:rPr>
        <w:t xml:space="preserve">v rámci níž představí </w:t>
      </w:r>
      <w:r w:rsidRPr="00BB05A4">
        <w:rPr>
          <w:rFonts w:ascii="Arial Black" w:hAnsi="Arial Black"/>
          <w:color w:val="000000" w:themeColor="text1"/>
          <w:sz w:val="32"/>
          <w:szCs w:val="32"/>
        </w:rPr>
        <w:t xml:space="preserve">každých 14 dnů nové projekty. Firma aktuálně </w:t>
      </w:r>
      <w:r>
        <w:rPr>
          <w:rFonts w:ascii="Arial Black" w:hAnsi="Arial Black"/>
          <w:color w:val="000000" w:themeColor="text1"/>
          <w:sz w:val="32"/>
          <w:szCs w:val="32"/>
        </w:rPr>
        <w:t>staví po Praze téměř 1.800 bytů</w:t>
      </w:r>
    </w:p>
    <w:p w:rsidR="00BB05A4" w:rsidRPr="00BB05A4" w:rsidRDefault="00BB05A4" w:rsidP="00BB05A4">
      <w:pPr>
        <w:spacing w:after="0"/>
        <w:rPr>
          <w:rFonts w:ascii="Arial Black" w:hAnsi="Arial Black"/>
          <w:color w:val="000000" w:themeColor="text1"/>
          <w:sz w:val="32"/>
          <w:szCs w:val="32"/>
        </w:rPr>
      </w:pPr>
    </w:p>
    <w:p w:rsidR="00633318" w:rsidRDefault="00633318" w:rsidP="00B75BE8">
      <w:pPr>
        <w:spacing w:after="0"/>
        <w:contextualSpacing/>
        <w:jc w:val="both"/>
        <w:rPr>
          <w:rFonts w:ascii="Arial" w:hAnsi="Arial" w:cs="Arial"/>
          <w:b/>
          <w:color w:val="000000" w:themeColor="text1"/>
          <w:sz w:val="23"/>
          <w:szCs w:val="23"/>
          <w:lang w:eastAsia="cs-CZ"/>
        </w:rPr>
      </w:pPr>
      <w:proofErr w:type="gramStart"/>
      <w:r>
        <w:rPr>
          <w:rFonts w:ascii="Arial" w:hAnsi="Arial" w:cs="Arial"/>
          <w:i/>
          <w:sz w:val="23"/>
          <w:szCs w:val="23"/>
          <w:lang w:eastAsia="cs-CZ"/>
        </w:rPr>
        <w:t>1.9.</w:t>
      </w:r>
      <w:r w:rsidRPr="00CA489A">
        <w:rPr>
          <w:rFonts w:ascii="Arial" w:hAnsi="Arial" w:cs="Arial"/>
          <w:i/>
          <w:sz w:val="23"/>
          <w:szCs w:val="23"/>
          <w:lang w:eastAsia="cs-CZ"/>
        </w:rPr>
        <w:t>2015</w:t>
      </w:r>
      <w:proofErr w:type="gramEnd"/>
      <w:r w:rsidRPr="00CA489A">
        <w:rPr>
          <w:rFonts w:ascii="Arial" w:hAnsi="Arial" w:cs="Arial"/>
          <w:i/>
          <w:sz w:val="23"/>
          <w:szCs w:val="23"/>
          <w:lang w:eastAsia="cs-CZ"/>
        </w:rPr>
        <w:t xml:space="preserve">, </w:t>
      </w:r>
      <w:r w:rsidRPr="002F02F6">
        <w:rPr>
          <w:rFonts w:ascii="Arial" w:hAnsi="Arial" w:cs="Arial"/>
          <w:i/>
          <w:color w:val="000000" w:themeColor="text1"/>
          <w:sz w:val="23"/>
          <w:szCs w:val="23"/>
          <w:lang w:eastAsia="cs-CZ"/>
        </w:rPr>
        <w:t xml:space="preserve">Praha – </w:t>
      </w:r>
      <w:r>
        <w:rPr>
          <w:rFonts w:ascii="Arial" w:hAnsi="Arial" w:cs="Arial"/>
          <w:b/>
          <w:color w:val="000000" w:themeColor="text1"/>
          <w:sz w:val="23"/>
          <w:szCs w:val="23"/>
          <w:lang w:eastAsia="cs-CZ"/>
        </w:rPr>
        <w:t xml:space="preserve">Největší český rezidenční developer a investor nové bytové výstavby CENTRAL GROUP </w:t>
      </w:r>
      <w:r w:rsidR="00404AE7">
        <w:rPr>
          <w:rFonts w:ascii="Arial" w:hAnsi="Arial" w:cs="Arial"/>
          <w:b/>
          <w:color w:val="000000" w:themeColor="text1"/>
          <w:sz w:val="23"/>
          <w:szCs w:val="23"/>
          <w:lang w:eastAsia="cs-CZ"/>
        </w:rPr>
        <w:t xml:space="preserve">dnes zahájil </w:t>
      </w:r>
      <w:r w:rsidR="00404AE7" w:rsidRPr="00404AE7">
        <w:rPr>
          <w:rFonts w:ascii="Arial" w:hAnsi="Arial" w:cs="Arial"/>
          <w:b/>
          <w:color w:val="000000" w:themeColor="text1"/>
          <w:sz w:val="23"/>
          <w:szCs w:val="23"/>
          <w:lang w:eastAsia="cs-CZ"/>
        </w:rPr>
        <w:t xml:space="preserve">prodej další etapy úspěšného bytového </w:t>
      </w:r>
      <w:r w:rsidR="00D93E34">
        <w:rPr>
          <w:rFonts w:ascii="Arial" w:hAnsi="Arial" w:cs="Arial"/>
          <w:b/>
          <w:color w:val="000000" w:themeColor="text1"/>
          <w:sz w:val="23"/>
          <w:szCs w:val="23"/>
          <w:lang w:eastAsia="cs-CZ"/>
        </w:rPr>
        <w:t xml:space="preserve">areálu </w:t>
      </w:r>
      <w:r w:rsidR="00404AE7">
        <w:rPr>
          <w:rFonts w:ascii="Arial" w:hAnsi="Arial" w:cs="Arial"/>
          <w:b/>
          <w:color w:val="000000" w:themeColor="text1"/>
          <w:sz w:val="23"/>
          <w:szCs w:val="23"/>
          <w:lang w:eastAsia="cs-CZ"/>
        </w:rPr>
        <w:t xml:space="preserve">Letňanské zahrady </w:t>
      </w:r>
      <w:r w:rsidR="00404AE7" w:rsidRPr="00404AE7">
        <w:rPr>
          <w:rFonts w:ascii="Arial" w:hAnsi="Arial" w:cs="Arial"/>
          <w:b/>
          <w:color w:val="000000" w:themeColor="text1"/>
          <w:sz w:val="23"/>
          <w:szCs w:val="23"/>
          <w:lang w:eastAsia="cs-CZ"/>
        </w:rPr>
        <w:t xml:space="preserve">a </w:t>
      </w:r>
      <w:r w:rsidR="00404AE7">
        <w:rPr>
          <w:rFonts w:ascii="Arial" w:hAnsi="Arial" w:cs="Arial"/>
          <w:b/>
          <w:color w:val="000000" w:themeColor="text1"/>
          <w:sz w:val="23"/>
          <w:szCs w:val="23"/>
          <w:lang w:eastAsia="cs-CZ"/>
        </w:rPr>
        <w:t xml:space="preserve">také </w:t>
      </w:r>
      <w:r w:rsidR="00404AE7" w:rsidRPr="00404AE7">
        <w:rPr>
          <w:rFonts w:ascii="Arial" w:hAnsi="Arial" w:cs="Arial"/>
          <w:b/>
          <w:color w:val="000000" w:themeColor="text1"/>
          <w:sz w:val="23"/>
          <w:szCs w:val="23"/>
          <w:lang w:eastAsia="cs-CZ"/>
        </w:rPr>
        <w:t xml:space="preserve">rodinných domů v Brandýse. </w:t>
      </w:r>
      <w:r w:rsidR="00D93E34">
        <w:rPr>
          <w:rFonts w:ascii="Arial" w:hAnsi="Arial" w:cs="Arial"/>
          <w:b/>
          <w:color w:val="000000" w:themeColor="text1"/>
          <w:sz w:val="23"/>
          <w:szCs w:val="23"/>
          <w:lang w:eastAsia="cs-CZ"/>
        </w:rPr>
        <w:t>Během</w:t>
      </w:r>
      <w:r w:rsidR="00404AE7">
        <w:rPr>
          <w:rFonts w:ascii="Arial" w:hAnsi="Arial" w:cs="Arial"/>
          <w:b/>
          <w:color w:val="000000" w:themeColor="text1"/>
          <w:sz w:val="23"/>
          <w:szCs w:val="23"/>
          <w:lang w:eastAsia="cs-CZ"/>
        </w:rPr>
        <w:t xml:space="preserve"> </w:t>
      </w:r>
      <w:r w:rsidR="00404AE7" w:rsidRPr="00404AE7">
        <w:rPr>
          <w:rFonts w:ascii="Arial" w:hAnsi="Arial" w:cs="Arial"/>
          <w:b/>
          <w:color w:val="000000" w:themeColor="text1"/>
          <w:sz w:val="23"/>
          <w:szCs w:val="23"/>
          <w:lang w:eastAsia="cs-CZ"/>
        </w:rPr>
        <w:t xml:space="preserve">podzimu </w:t>
      </w:r>
      <w:r w:rsidR="00404AE7">
        <w:rPr>
          <w:rFonts w:ascii="Arial" w:hAnsi="Arial" w:cs="Arial"/>
          <w:b/>
          <w:color w:val="000000" w:themeColor="text1"/>
          <w:sz w:val="23"/>
          <w:szCs w:val="23"/>
          <w:lang w:eastAsia="cs-CZ"/>
        </w:rPr>
        <w:t xml:space="preserve">chce svou nabídku bytů a rodinných domů každých 14 dnů dále doplňovat o </w:t>
      </w:r>
      <w:r w:rsidR="00D93E34">
        <w:rPr>
          <w:rFonts w:ascii="Arial" w:hAnsi="Arial" w:cs="Arial"/>
          <w:b/>
          <w:color w:val="000000" w:themeColor="text1"/>
          <w:sz w:val="23"/>
          <w:szCs w:val="23"/>
          <w:lang w:eastAsia="cs-CZ"/>
        </w:rPr>
        <w:t>stále</w:t>
      </w:r>
      <w:r w:rsidR="00404AE7">
        <w:rPr>
          <w:rFonts w:ascii="Arial" w:hAnsi="Arial" w:cs="Arial"/>
          <w:b/>
          <w:color w:val="000000" w:themeColor="text1"/>
          <w:sz w:val="23"/>
          <w:szCs w:val="23"/>
          <w:lang w:eastAsia="cs-CZ"/>
        </w:rPr>
        <w:t xml:space="preserve"> nové lokality, celkem plánuje jen během podzimu uvolnit do prodeje více než 700 bytů a rodinných domů v 8 </w:t>
      </w:r>
      <w:r w:rsidR="00D93E34">
        <w:rPr>
          <w:rFonts w:ascii="Arial" w:hAnsi="Arial" w:cs="Arial"/>
          <w:b/>
          <w:color w:val="000000" w:themeColor="text1"/>
          <w:sz w:val="23"/>
          <w:szCs w:val="23"/>
          <w:lang w:eastAsia="cs-CZ"/>
        </w:rPr>
        <w:t>projekte</w:t>
      </w:r>
      <w:r w:rsidR="00404AE7">
        <w:rPr>
          <w:rFonts w:ascii="Arial" w:hAnsi="Arial" w:cs="Arial"/>
          <w:b/>
          <w:color w:val="000000" w:themeColor="text1"/>
          <w:sz w:val="23"/>
          <w:szCs w:val="23"/>
          <w:lang w:eastAsia="cs-CZ"/>
        </w:rPr>
        <w:t>ch. Jak je u CENTRAL GROUP zvykem, všechny nové projekty mířící do nabídky se v momentě zahájení prodeje také již stavějí.</w:t>
      </w:r>
    </w:p>
    <w:p w:rsidR="00BB05A4" w:rsidRDefault="00BB05A4" w:rsidP="00755EC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75BE8" w:rsidRDefault="00404AE7" w:rsidP="00755EC0">
      <w:pPr>
        <w:spacing w:after="0"/>
        <w:jc w:val="both"/>
        <w:rPr>
          <w:rFonts w:ascii="Arial" w:hAnsi="Arial" w:cs="Arial"/>
          <w:color w:val="000000" w:themeColor="text1"/>
          <w:lang w:eastAsia="cs-CZ"/>
        </w:rPr>
      </w:pPr>
      <w:r>
        <w:rPr>
          <w:rFonts w:ascii="Arial" w:hAnsi="Arial" w:cs="Arial"/>
          <w:color w:val="000000" w:themeColor="text1"/>
          <w:lang w:eastAsia="cs-CZ"/>
        </w:rPr>
        <w:t xml:space="preserve">Historicky největší podzimní nabídkou nových lokalit reaguje CENTRAL GROUP na rekordní poptávku po novém bydlení v Praze. S velkou pravděpodobností </w:t>
      </w:r>
      <w:r w:rsidR="00B75BE8">
        <w:rPr>
          <w:rFonts w:ascii="Arial" w:hAnsi="Arial" w:cs="Arial"/>
          <w:color w:val="000000" w:themeColor="text1"/>
          <w:lang w:eastAsia="cs-CZ"/>
        </w:rPr>
        <w:t xml:space="preserve">totiž </w:t>
      </w:r>
      <w:r>
        <w:rPr>
          <w:rFonts w:ascii="Arial" w:hAnsi="Arial" w:cs="Arial"/>
          <w:color w:val="000000" w:themeColor="text1"/>
          <w:lang w:eastAsia="cs-CZ"/>
        </w:rPr>
        <w:t xml:space="preserve">bude v letošním roce překonán </w:t>
      </w:r>
      <w:r w:rsidR="003B0B39">
        <w:rPr>
          <w:rFonts w:ascii="Arial" w:hAnsi="Arial" w:cs="Arial"/>
          <w:color w:val="000000" w:themeColor="text1"/>
          <w:lang w:eastAsia="cs-CZ"/>
        </w:rPr>
        <w:t xml:space="preserve">loňský </w:t>
      </w:r>
      <w:r>
        <w:rPr>
          <w:rFonts w:ascii="Arial" w:hAnsi="Arial" w:cs="Arial"/>
          <w:color w:val="000000" w:themeColor="text1"/>
          <w:lang w:eastAsia="cs-CZ"/>
        </w:rPr>
        <w:t xml:space="preserve">dosud nejlepší </w:t>
      </w:r>
      <w:proofErr w:type="spellStart"/>
      <w:r>
        <w:rPr>
          <w:rFonts w:ascii="Arial" w:hAnsi="Arial" w:cs="Arial"/>
          <w:color w:val="000000" w:themeColor="text1"/>
          <w:lang w:eastAsia="cs-CZ"/>
        </w:rPr>
        <w:t>pokrizový</w:t>
      </w:r>
      <w:proofErr w:type="spellEnd"/>
      <w:r>
        <w:rPr>
          <w:rFonts w:ascii="Arial" w:hAnsi="Arial" w:cs="Arial"/>
          <w:color w:val="000000" w:themeColor="text1"/>
          <w:lang w:eastAsia="cs-CZ"/>
        </w:rPr>
        <w:t xml:space="preserve"> prodejní výsledek pražských developerů</w:t>
      </w:r>
      <w:r w:rsidR="00D93E34">
        <w:rPr>
          <w:rFonts w:ascii="Arial" w:hAnsi="Arial" w:cs="Arial"/>
          <w:color w:val="000000" w:themeColor="text1"/>
          <w:lang w:eastAsia="cs-CZ"/>
        </w:rPr>
        <w:t xml:space="preserve">. </w:t>
      </w:r>
      <w:r>
        <w:rPr>
          <w:rFonts w:ascii="Arial" w:hAnsi="Arial" w:cs="Arial"/>
          <w:color w:val="000000" w:themeColor="text1"/>
          <w:lang w:eastAsia="cs-CZ"/>
        </w:rPr>
        <w:t>Vedle historicky nejnižších úroků hypoték a příznivé cenové úrovně podporuj</w:t>
      </w:r>
      <w:r w:rsidR="00D93E34">
        <w:rPr>
          <w:rFonts w:ascii="Arial" w:hAnsi="Arial" w:cs="Arial"/>
          <w:color w:val="000000" w:themeColor="text1"/>
          <w:lang w:eastAsia="cs-CZ"/>
        </w:rPr>
        <w:t>e obrovskou</w:t>
      </w:r>
      <w:r>
        <w:rPr>
          <w:rFonts w:ascii="Arial" w:hAnsi="Arial" w:cs="Arial"/>
          <w:color w:val="000000" w:themeColor="text1"/>
          <w:lang w:eastAsia="cs-CZ"/>
        </w:rPr>
        <w:t xml:space="preserve"> poptávku po nových nemovitostech </w:t>
      </w:r>
      <w:r w:rsidR="00D93E34">
        <w:rPr>
          <w:rFonts w:ascii="Arial" w:hAnsi="Arial" w:cs="Arial"/>
          <w:color w:val="000000" w:themeColor="text1"/>
          <w:lang w:eastAsia="cs-CZ"/>
        </w:rPr>
        <w:t>také</w:t>
      </w:r>
      <w:r>
        <w:rPr>
          <w:rFonts w:ascii="Arial" w:hAnsi="Arial" w:cs="Arial"/>
          <w:color w:val="000000" w:themeColor="text1"/>
          <w:lang w:eastAsia="cs-CZ"/>
        </w:rPr>
        <w:t xml:space="preserve"> </w:t>
      </w:r>
      <w:r w:rsidR="00D93E34">
        <w:rPr>
          <w:rFonts w:ascii="Arial" w:hAnsi="Arial" w:cs="Arial"/>
          <w:color w:val="000000" w:themeColor="text1"/>
          <w:lang w:eastAsia="cs-CZ"/>
        </w:rPr>
        <w:t xml:space="preserve">dlouhodobá </w:t>
      </w:r>
      <w:r>
        <w:rPr>
          <w:rFonts w:ascii="Arial" w:hAnsi="Arial" w:cs="Arial"/>
          <w:color w:val="000000" w:themeColor="text1"/>
          <w:lang w:eastAsia="cs-CZ"/>
        </w:rPr>
        <w:t>solidní výkonnost české ekonomiky</w:t>
      </w:r>
      <w:r w:rsidR="00D93E34">
        <w:rPr>
          <w:rFonts w:ascii="Arial" w:hAnsi="Arial" w:cs="Arial"/>
          <w:color w:val="000000" w:themeColor="text1"/>
          <w:lang w:eastAsia="cs-CZ"/>
        </w:rPr>
        <w:t xml:space="preserve"> a klesající nezaměstnanost</w:t>
      </w:r>
      <w:r>
        <w:rPr>
          <w:rFonts w:ascii="Arial" w:hAnsi="Arial" w:cs="Arial"/>
          <w:color w:val="000000" w:themeColor="text1"/>
          <w:lang w:eastAsia="cs-CZ"/>
        </w:rPr>
        <w:t>.</w:t>
      </w:r>
    </w:p>
    <w:p w:rsidR="00404AE7" w:rsidRDefault="00404AE7" w:rsidP="00755EC0">
      <w:pPr>
        <w:spacing w:after="0"/>
        <w:jc w:val="both"/>
        <w:rPr>
          <w:rFonts w:ascii="Arial" w:hAnsi="Arial" w:cs="Arial"/>
          <w:color w:val="000000" w:themeColor="text1"/>
          <w:lang w:eastAsia="cs-CZ"/>
        </w:rPr>
      </w:pPr>
      <w:r>
        <w:rPr>
          <w:rFonts w:ascii="Arial" w:hAnsi="Arial" w:cs="Arial"/>
          <w:color w:val="000000" w:themeColor="text1"/>
          <w:lang w:eastAsia="cs-CZ"/>
        </w:rPr>
        <w:t xml:space="preserve"> </w:t>
      </w:r>
    </w:p>
    <w:p w:rsidR="00404AE7" w:rsidRDefault="00404AE7" w:rsidP="00755EC0">
      <w:pPr>
        <w:spacing w:after="0"/>
        <w:jc w:val="both"/>
        <w:rPr>
          <w:rFonts w:ascii="Arial" w:hAnsi="Arial" w:cs="Arial"/>
          <w:color w:val="000000" w:themeColor="text1"/>
          <w:lang w:eastAsia="cs-CZ"/>
        </w:rPr>
      </w:pPr>
      <w:r w:rsidRPr="00B75BE8">
        <w:rPr>
          <w:rFonts w:ascii="Arial" w:hAnsi="Arial" w:cs="Arial"/>
          <w:i/>
          <w:color w:val="000000" w:themeColor="text1"/>
          <w:lang w:eastAsia="cs-CZ"/>
        </w:rPr>
        <w:t>„</w:t>
      </w:r>
      <w:r w:rsidR="00B75BE8" w:rsidRPr="00B75BE8">
        <w:rPr>
          <w:rFonts w:ascii="Arial" w:hAnsi="Arial" w:cs="Arial"/>
          <w:i/>
          <w:color w:val="000000" w:themeColor="text1"/>
          <w:lang w:eastAsia="cs-CZ"/>
        </w:rPr>
        <w:t xml:space="preserve">Velkou podzimní nabídkou vycházíme vstříc rostoucí poptávce nejen po cenově dostupných bytech </w:t>
      </w:r>
      <w:r w:rsidR="003B0B39">
        <w:rPr>
          <w:rFonts w:ascii="Arial" w:hAnsi="Arial" w:cs="Arial"/>
          <w:i/>
          <w:color w:val="000000" w:themeColor="text1"/>
          <w:lang w:eastAsia="cs-CZ"/>
        </w:rPr>
        <w:t xml:space="preserve">a rodinných domech </w:t>
      </w:r>
      <w:r w:rsidR="00B75BE8" w:rsidRPr="00B75BE8">
        <w:rPr>
          <w:rFonts w:ascii="Arial" w:hAnsi="Arial" w:cs="Arial"/>
          <w:i/>
          <w:color w:val="000000" w:themeColor="text1"/>
          <w:lang w:eastAsia="cs-CZ"/>
        </w:rPr>
        <w:t xml:space="preserve">na okrajích metropole, ale zejména v centru a širším centru Prahy. Zjednodušeně řečeno platí, že ti, kteří dříve kupovali novostavby na </w:t>
      </w:r>
      <w:r w:rsidR="00575AC0">
        <w:rPr>
          <w:rFonts w:ascii="Arial" w:hAnsi="Arial" w:cs="Arial"/>
          <w:i/>
          <w:color w:val="000000" w:themeColor="text1"/>
          <w:lang w:eastAsia="cs-CZ"/>
        </w:rPr>
        <w:t>okraji</w:t>
      </w:r>
      <w:r w:rsidR="00B75BE8" w:rsidRPr="00B75BE8">
        <w:rPr>
          <w:rFonts w:ascii="Arial" w:hAnsi="Arial" w:cs="Arial"/>
          <w:i/>
          <w:color w:val="000000" w:themeColor="text1"/>
          <w:lang w:eastAsia="cs-CZ"/>
        </w:rPr>
        <w:t xml:space="preserve">, dosáhnou dnes díky levným hypotékám i na bydlení v širším centru </w:t>
      </w:r>
      <w:r w:rsidR="00D93E34">
        <w:rPr>
          <w:rFonts w:ascii="Arial" w:hAnsi="Arial" w:cs="Arial"/>
          <w:i/>
          <w:color w:val="000000" w:themeColor="text1"/>
          <w:lang w:eastAsia="cs-CZ"/>
        </w:rPr>
        <w:t>města</w:t>
      </w:r>
      <w:r w:rsidR="00B75BE8" w:rsidRPr="00B75BE8">
        <w:rPr>
          <w:rFonts w:ascii="Arial" w:hAnsi="Arial" w:cs="Arial"/>
          <w:i/>
          <w:color w:val="000000" w:themeColor="text1"/>
          <w:lang w:eastAsia="cs-CZ"/>
        </w:rPr>
        <w:t>. A zájemci, kteří dříve uvažovali spíše o pronájmu nebo o koupi starších bytů, si dnes mohou dovolit</w:t>
      </w:r>
      <w:r w:rsidR="00D93E34">
        <w:rPr>
          <w:rFonts w:ascii="Arial" w:hAnsi="Arial" w:cs="Arial"/>
          <w:i/>
          <w:color w:val="000000" w:themeColor="text1"/>
          <w:lang w:eastAsia="cs-CZ"/>
        </w:rPr>
        <w:t xml:space="preserve"> klidně</w:t>
      </w:r>
      <w:r w:rsidR="00B75BE8" w:rsidRPr="00B75BE8">
        <w:rPr>
          <w:rFonts w:ascii="Arial" w:hAnsi="Arial" w:cs="Arial"/>
          <w:i/>
          <w:color w:val="000000" w:themeColor="text1"/>
          <w:lang w:eastAsia="cs-CZ"/>
        </w:rPr>
        <w:t xml:space="preserve"> i </w:t>
      </w:r>
      <w:r w:rsidR="00575AC0">
        <w:rPr>
          <w:rFonts w:ascii="Arial" w:hAnsi="Arial" w:cs="Arial"/>
          <w:i/>
          <w:color w:val="000000" w:themeColor="text1"/>
          <w:lang w:eastAsia="cs-CZ"/>
        </w:rPr>
        <w:t>nové bydlení</w:t>
      </w:r>
      <w:r w:rsidR="00B75BE8" w:rsidRPr="00B75BE8">
        <w:rPr>
          <w:rFonts w:ascii="Arial" w:hAnsi="Arial" w:cs="Arial"/>
          <w:i/>
          <w:color w:val="000000" w:themeColor="text1"/>
          <w:lang w:eastAsia="cs-CZ"/>
        </w:rPr>
        <w:t xml:space="preserve"> ve velkých cenově dostupných projektech,“</w:t>
      </w:r>
      <w:r w:rsidR="00B75BE8">
        <w:rPr>
          <w:rFonts w:ascii="Arial" w:hAnsi="Arial" w:cs="Arial"/>
          <w:color w:val="000000" w:themeColor="text1"/>
          <w:lang w:eastAsia="cs-CZ"/>
        </w:rPr>
        <w:t xml:space="preserve"> </w:t>
      </w:r>
      <w:r w:rsidR="00E442D7">
        <w:rPr>
          <w:rFonts w:ascii="Arial" w:hAnsi="Arial" w:cs="Arial"/>
          <w:color w:val="000000" w:themeColor="text1"/>
          <w:lang w:eastAsia="cs-CZ"/>
        </w:rPr>
        <w:t>vysvětluje</w:t>
      </w:r>
      <w:r w:rsidR="00B75BE8">
        <w:rPr>
          <w:rFonts w:ascii="Arial" w:hAnsi="Arial" w:cs="Arial"/>
          <w:color w:val="000000" w:themeColor="text1"/>
          <w:lang w:eastAsia="cs-CZ"/>
        </w:rPr>
        <w:t xml:space="preserve"> Dušan Kunovský, předseda představenstva CENTRAL GROUP. </w:t>
      </w:r>
    </w:p>
    <w:p w:rsidR="00B75BE8" w:rsidRDefault="00B75BE8" w:rsidP="00755EC0">
      <w:pPr>
        <w:spacing w:after="0"/>
        <w:jc w:val="both"/>
        <w:rPr>
          <w:rFonts w:ascii="Arial" w:hAnsi="Arial" w:cs="Arial"/>
          <w:color w:val="000000" w:themeColor="text1"/>
          <w:lang w:eastAsia="cs-CZ"/>
        </w:rPr>
      </w:pPr>
    </w:p>
    <w:p w:rsidR="00C70EE1" w:rsidRDefault="00B75BE8" w:rsidP="00755EC0">
      <w:pPr>
        <w:spacing w:after="0"/>
        <w:jc w:val="both"/>
        <w:rPr>
          <w:rFonts w:ascii="Arial" w:hAnsi="Arial" w:cs="Arial"/>
          <w:b/>
          <w:sz w:val="23"/>
          <w:szCs w:val="23"/>
        </w:rPr>
      </w:pPr>
      <w:r w:rsidRPr="00B75BE8">
        <w:rPr>
          <w:rFonts w:ascii="Arial" w:hAnsi="Arial" w:cs="Arial"/>
          <w:b/>
          <w:sz w:val="23"/>
          <w:szCs w:val="23"/>
        </w:rPr>
        <w:t xml:space="preserve">Začátkem září Letňany a Brandýs, za dva týdny </w:t>
      </w:r>
      <w:r w:rsidR="00DF157C">
        <w:rPr>
          <w:rFonts w:ascii="Arial" w:hAnsi="Arial" w:cs="Arial"/>
          <w:b/>
          <w:sz w:val="23"/>
          <w:szCs w:val="23"/>
        </w:rPr>
        <w:t xml:space="preserve">přibydou </w:t>
      </w:r>
      <w:r w:rsidRPr="00B75BE8">
        <w:rPr>
          <w:rFonts w:ascii="Arial" w:hAnsi="Arial" w:cs="Arial"/>
          <w:b/>
          <w:sz w:val="23"/>
          <w:szCs w:val="23"/>
        </w:rPr>
        <w:t>Holešovice a Břevnov</w:t>
      </w:r>
    </w:p>
    <w:p w:rsidR="00755EC0" w:rsidRPr="00755EC0" w:rsidRDefault="00755EC0" w:rsidP="00755EC0">
      <w:pPr>
        <w:spacing w:after="0"/>
        <w:jc w:val="both"/>
        <w:rPr>
          <w:rFonts w:ascii="Arial" w:hAnsi="Arial" w:cs="Arial"/>
          <w:b/>
          <w:sz w:val="6"/>
          <w:szCs w:val="6"/>
        </w:rPr>
      </w:pPr>
    </w:p>
    <w:p w:rsidR="00755EC0" w:rsidRDefault="00755EC0" w:rsidP="00755EC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Nová etapa</w:t>
      </w:r>
      <w:r w:rsidRPr="00755EC0">
        <w:rPr>
          <w:rFonts w:ascii="Arial" w:hAnsi="Arial" w:cs="Arial"/>
        </w:rPr>
        <w:t xml:space="preserve"> velmi úspěšného projektu rodinného bydlení Letňanské zahrady v Praze 9 </w:t>
      </w:r>
      <w:r w:rsidR="001C66CF" w:rsidRPr="00755EC0">
        <w:rPr>
          <w:rFonts w:ascii="Arial" w:hAnsi="Arial" w:cs="Arial"/>
        </w:rPr>
        <w:t xml:space="preserve">v blízkosti metra </w:t>
      </w:r>
      <w:r>
        <w:rPr>
          <w:rFonts w:ascii="Arial" w:hAnsi="Arial" w:cs="Arial"/>
        </w:rPr>
        <w:t xml:space="preserve">nabízí široký výběr z celkem </w:t>
      </w:r>
      <w:r w:rsidRPr="00755EC0">
        <w:rPr>
          <w:rFonts w:ascii="Arial" w:hAnsi="Arial" w:cs="Arial"/>
        </w:rPr>
        <w:t xml:space="preserve">183 bytů o dispozicích od 1+kk až po 4+kk v pěti atraktivních nízkopodlažních </w:t>
      </w:r>
      <w:proofErr w:type="spellStart"/>
      <w:r w:rsidRPr="00755EC0">
        <w:rPr>
          <w:rFonts w:ascii="Arial" w:hAnsi="Arial" w:cs="Arial"/>
        </w:rPr>
        <w:t>viladomech</w:t>
      </w:r>
      <w:proofErr w:type="spellEnd"/>
      <w:r w:rsidRPr="00755EC0">
        <w:rPr>
          <w:rFonts w:ascii="Arial" w:hAnsi="Arial" w:cs="Arial"/>
        </w:rPr>
        <w:t xml:space="preserve"> se střešními terasami a rozlehlými předzahrádkami. Ceny bytů včetně DPH, příslušenství a vysokého standardu provedení KOMFORT začínají již na 1,5 mil. Kč.</w:t>
      </w:r>
      <w:r w:rsidR="00575AC0">
        <w:rPr>
          <w:rFonts w:ascii="Arial" w:hAnsi="Arial" w:cs="Arial"/>
        </w:rPr>
        <w:t xml:space="preserve"> </w:t>
      </w:r>
    </w:p>
    <w:p w:rsidR="00755EC0" w:rsidRDefault="00755EC0" w:rsidP="00755EC0">
      <w:pPr>
        <w:spacing w:after="0"/>
        <w:jc w:val="both"/>
        <w:rPr>
          <w:rFonts w:ascii="Arial" w:hAnsi="Arial" w:cs="Arial"/>
        </w:rPr>
      </w:pPr>
    </w:p>
    <w:p w:rsidR="00B75BE8" w:rsidRDefault="00755EC0" w:rsidP="00755EC0">
      <w:pPr>
        <w:spacing w:after="0"/>
        <w:jc w:val="both"/>
        <w:rPr>
          <w:rFonts w:ascii="Arial" w:hAnsi="Arial" w:cs="Arial"/>
        </w:rPr>
      </w:pPr>
      <w:r w:rsidRPr="00755EC0">
        <w:rPr>
          <w:rFonts w:ascii="Arial" w:hAnsi="Arial" w:cs="Arial"/>
        </w:rPr>
        <w:t xml:space="preserve">Současně s novou etapou bytů v Letňanech zahajuje CENTRAL GROUP také prodej jedné z posledních etap cenově dostupných rodinných domů v lokalitě Pražská čtvrť v Brandýse. Do prodeje zde míří celkem 13 rodinných domů, jejich ceny včetně DPH a pozemku začínají na velmi zajímavých 4,14 mil. Kč. Téměř všech 66 již dokončených </w:t>
      </w:r>
      <w:r w:rsidR="006E7A97">
        <w:rPr>
          <w:rFonts w:ascii="Arial" w:hAnsi="Arial" w:cs="Arial"/>
        </w:rPr>
        <w:t>d</w:t>
      </w:r>
      <w:r w:rsidRPr="00755EC0">
        <w:rPr>
          <w:rFonts w:ascii="Arial" w:hAnsi="Arial" w:cs="Arial"/>
        </w:rPr>
        <w:t xml:space="preserve">omů z předchozích etap je </w:t>
      </w:r>
      <w:r w:rsidR="00575AC0">
        <w:rPr>
          <w:rFonts w:ascii="Arial" w:hAnsi="Arial" w:cs="Arial"/>
        </w:rPr>
        <w:t xml:space="preserve">přitom již </w:t>
      </w:r>
      <w:r w:rsidRPr="00755EC0">
        <w:rPr>
          <w:rFonts w:ascii="Arial" w:hAnsi="Arial" w:cs="Arial"/>
        </w:rPr>
        <w:t xml:space="preserve">vyprodáno, zájemci o </w:t>
      </w:r>
      <w:r w:rsidR="006E7A97">
        <w:rPr>
          <w:rFonts w:ascii="Arial" w:hAnsi="Arial" w:cs="Arial"/>
        </w:rPr>
        <w:t>výhodný nákup rodinného domu</w:t>
      </w:r>
      <w:r w:rsidRPr="00755EC0">
        <w:rPr>
          <w:rFonts w:ascii="Arial" w:hAnsi="Arial" w:cs="Arial"/>
        </w:rPr>
        <w:t xml:space="preserve"> tak mají jednu z posledních šancí.</w:t>
      </w:r>
    </w:p>
    <w:p w:rsidR="0073295D" w:rsidRDefault="0073295D" w:rsidP="00755EC0">
      <w:pPr>
        <w:spacing w:after="0"/>
        <w:jc w:val="both"/>
        <w:rPr>
          <w:rFonts w:ascii="Arial" w:hAnsi="Arial" w:cs="Arial"/>
        </w:rPr>
      </w:pPr>
    </w:p>
    <w:p w:rsidR="0073295D" w:rsidRDefault="0073295D" w:rsidP="00755EC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Již za čtrnáct dnů představí CENTRAL GROUP dva zcela nové projekty v lokalitách širšího centra Prahy. Bytový areál Vltavská vyhlídka v Praze 7 – Holešovicích nabídne celkem 156 cenově </w:t>
      </w:r>
      <w:r>
        <w:rPr>
          <w:rFonts w:ascii="Arial" w:hAnsi="Arial" w:cs="Arial"/>
        </w:rPr>
        <w:lastRenderedPageBreak/>
        <w:t xml:space="preserve">dostupných bytů, Rezidence Břevnovské centrum na Praze 6 pak 79 luxusních bytů v prestižní rezidenční </w:t>
      </w:r>
      <w:r w:rsidR="00787594">
        <w:rPr>
          <w:rFonts w:ascii="Arial" w:hAnsi="Arial" w:cs="Arial"/>
        </w:rPr>
        <w:t>čtvrti</w:t>
      </w:r>
      <w:r>
        <w:rPr>
          <w:rFonts w:ascii="Arial" w:hAnsi="Arial" w:cs="Arial"/>
        </w:rPr>
        <w:t>. Oba projekty mají navíc v přízemí navrženy komerční prostory, které vhodně doplní občanskou vybavenost lokalit.</w:t>
      </w:r>
    </w:p>
    <w:p w:rsidR="00787594" w:rsidRDefault="00787594" w:rsidP="00755EC0">
      <w:pPr>
        <w:spacing w:after="0"/>
        <w:jc w:val="both"/>
        <w:rPr>
          <w:rFonts w:ascii="Arial" w:hAnsi="Arial" w:cs="Arial"/>
        </w:rPr>
      </w:pPr>
    </w:p>
    <w:p w:rsidR="00787594" w:rsidRPr="00B75BE8" w:rsidRDefault="00575AC0" w:rsidP="00755EC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Další </w:t>
      </w:r>
      <w:r w:rsidR="00787594">
        <w:rPr>
          <w:rFonts w:ascii="Arial" w:hAnsi="Arial" w:cs="Arial"/>
        </w:rPr>
        <w:t xml:space="preserve">projekty pak budou následovat vždy se čtrnáctidenním odstupem. Celkem </w:t>
      </w:r>
      <w:r>
        <w:rPr>
          <w:rFonts w:ascii="Arial" w:hAnsi="Arial" w:cs="Arial"/>
        </w:rPr>
        <w:t xml:space="preserve">uvede </w:t>
      </w:r>
      <w:r w:rsidR="00787594">
        <w:rPr>
          <w:rFonts w:ascii="Arial" w:hAnsi="Arial" w:cs="Arial"/>
        </w:rPr>
        <w:t xml:space="preserve">CENTRAL GROUP letos na podzim </w:t>
      </w:r>
      <w:r>
        <w:rPr>
          <w:rFonts w:ascii="Arial" w:hAnsi="Arial" w:cs="Arial"/>
        </w:rPr>
        <w:t>do prodeje přes</w:t>
      </w:r>
      <w:r w:rsidR="00787594">
        <w:rPr>
          <w:rFonts w:ascii="Arial" w:hAnsi="Arial" w:cs="Arial"/>
        </w:rPr>
        <w:t xml:space="preserve"> 700 bytů a rodinných domů v</w:t>
      </w:r>
      <w:r>
        <w:rPr>
          <w:rFonts w:ascii="Arial" w:hAnsi="Arial" w:cs="Arial"/>
        </w:rPr>
        <w:t> </w:t>
      </w:r>
      <w:r w:rsidR="00787594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nových</w:t>
      </w:r>
      <w:r w:rsidR="00787594">
        <w:rPr>
          <w:rFonts w:ascii="Arial" w:hAnsi="Arial" w:cs="Arial"/>
        </w:rPr>
        <w:t xml:space="preserve"> lokalitách.</w:t>
      </w:r>
    </w:p>
    <w:p w:rsidR="00C70EE1" w:rsidRPr="00B75BE8" w:rsidRDefault="00C70EE1" w:rsidP="00B75BE8">
      <w:pPr>
        <w:spacing w:after="0"/>
        <w:rPr>
          <w:rFonts w:ascii="Arial" w:hAnsi="Arial" w:cs="Arial"/>
        </w:rPr>
      </w:pPr>
    </w:p>
    <w:p w:rsidR="00C70EE1" w:rsidRDefault="00787594" w:rsidP="00B75BE8">
      <w:pPr>
        <w:spacing w:after="0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Zájemci o unikátní luxusní byty se již mohou registrovat</w:t>
      </w:r>
      <w:r w:rsidR="00DF157C">
        <w:rPr>
          <w:rFonts w:ascii="Arial" w:hAnsi="Arial" w:cs="Arial"/>
          <w:b/>
          <w:sz w:val="23"/>
          <w:szCs w:val="23"/>
        </w:rPr>
        <w:t>, CENTRAL GROUP spustil web</w:t>
      </w:r>
    </w:p>
    <w:p w:rsidR="00787594" w:rsidRPr="00787594" w:rsidRDefault="00787594" w:rsidP="00B75BE8">
      <w:pPr>
        <w:spacing w:after="0"/>
        <w:rPr>
          <w:rFonts w:ascii="Arial" w:hAnsi="Arial" w:cs="Arial"/>
          <w:b/>
          <w:sz w:val="6"/>
          <w:szCs w:val="6"/>
        </w:rPr>
      </w:pPr>
    </w:p>
    <w:p w:rsidR="00787594" w:rsidRPr="00787594" w:rsidRDefault="00787594" w:rsidP="0078759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Současně </w:t>
      </w:r>
      <w:r w:rsidR="006A447A">
        <w:rPr>
          <w:rFonts w:ascii="Arial" w:hAnsi="Arial" w:cs="Arial"/>
        </w:rPr>
        <w:t xml:space="preserve">s novou nabídkou spustil dnes </w:t>
      </w:r>
      <w:r>
        <w:rPr>
          <w:rFonts w:ascii="Arial" w:hAnsi="Arial" w:cs="Arial"/>
        </w:rPr>
        <w:t xml:space="preserve">CENTRAL GROUP </w:t>
      </w:r>
      <w:r w:rsidR="006A447A">
        <w:rPr>
          <w:rFonts w:ascii="Arial" w:hAnsi="Arial" w:cs="Arial"/>
        </w:rPr>
        <w:t xml:space="preserve">také </w:t>
      </w:r>
      <w:r w:rsidRPr="00787594">
        <w:rPr>
          <w:rFonts w:ascii="Arial" w:hAnsi="Arial" w:cs="Arial"/>
        </w:rPr>
        <w:t>webové prezentace dvou dlouho očekávaných exkluzivních projektů v centru Prahy</w:t>
      </w:r>
      <w:r w:rsidR="006E7A97">
        <w:rPr>
          <w:rFonts w:ascii="Arial" w:hAnsi="Arial" w:cs="Arial"/>
        </w:rPr>
        <w:t xml:space="preserve"> – rezidencí U Muzea a Park </w:t>
      </w:r>
      <w:proofErr w:type="spellStart"/>
      <w:r w:rsidR="006E7A97">
        <w:rPr>
          <w:rFonts w:ascii="Arial" w:hAnsi="Arial" w:cs="Arial"/>
        </w:rPr>
        <w:t>Nikolajka</w:t>
      </w:r>
      <w:proofErr w:type="spellEnd"/>
      <w:r>
        <w:rPr>
          <w:rFonts w:ascii="Arial" w:hAnsi="Arial" w:cs="Arial"/>
        </w:rPr>
        <w:t xml:space="preserve">, a to měsíc před plánovaným zahájením jejich prodeje. Zájemci tak mají možnost </w:t>
      </w:r>
      <w:r w:rsidRPr="00787594">
        <w:rPr>
          <w:rFonts w:ascii="Arial" w:hAnsi="Arial" w:cs="Arial"/>
        </w:rPr>
        <w:t xml:space="preserve">již nyní </w:t>
      </w:r>
      <w:r>
        <w:rPr>
          <w:rFonts w:ascii="Arial" w:hAnsi="Arial" w:cs="Arial"/>
        </w:rPr>
        <w:t>získat základní informace o projekt</w:t>
      </w:r>
      <w:r w:rsidR="006A447A">
        <w:rPr>
          <w:rFonts w:ascii="Arial" w:hAnsi="Arial" w:cs="Arial"/>
        </w:rPr>
        <w:t xml:space="preserve">ech </w:t>
      </w:r>
      <w:r>
        <w:rPr>
          <w:rFonts w:ascii="Arial" w:hAnsi="Arial" w:cs="Arial"/>
        </w:rPr>
        <w:t>a</w:t>
      </w:r>
      <w:r w:rsidRPr="007875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prohlédnout si první</w:t>
      </w:r>
      <w:r w:rsidRPr="00787594">
        <w:rPr>
          <w:rFonts w:ascii="Arial" w:hAnsi="Arial" w:cs="Arial"/>
        </w:rPr>
        <w:t xml:space="preserve"> vizualizace</w:t>
      </w:r>
      <w:r>
        <w:rPr>
          <w:rFonts w:ascii="Arial" w:hAnsi="Arial" w:cs="Arial"/>
        </w:rPr>
        <w:t>.</w:t>
      </w:r>
      <w:r w:rsidRPr="00787594">
        <w:rPr>
          <w:rFonts w:ascii="Arial" w:hAnsi="Arial" w:cs="Arial"/>
        </w:rPr>
        <w:t xml:space="preserve"> A především se již nyní mohou registrovat k přednostnímu přístupu k nabídce bytů, ab</w:t>
      </w:r>
      <w:r w:rsidR="001C66CF">
        <w:rPr>
          <w:rFonts w:ascii="Arial" w:hAnsi="Arial" w:cs="Arial"/>
        </w:rPr>
        <w:t>y si mohli vybírat mezi prvními</w:t>
      </w:r>
      <w:r w:rsidRPr="00787594">
        <w:rPr>
          <w:rFonts w:ascii="Arial" w:hAnsi="Arial" w:cs="Arial"/>
        </w:rPr>
        <w:t>.</w:t>
      </w:r>
    </w:p>
    <w:p w:rsidR="00787594" w:rsidRDefault="00787594" w:rsidP="00787594">
      <w:pPr>
        <w:spacing w:after="0"/>
        <w:jc w:val="both"/>
        <w:rPr>
          <w:rFonts w:ascii="Arial" w:hAnsi="Arial" w:cs="Arial"/>
        </w:rPr>
      </w:pPr>
    </w:p>
    <w:p w:rsidR="00787594" w:rsidRDefault="00787594" w:rsidP="00787594">
      <w:pPr>
        <w:spacing w:after="0"/>
        <w:jc w:val="both"/>
        <w:rPr>
          <w:rFonts w:ascii="Arial" w:hAnsi="Arial" w:cs="Arial"/>
        </w:rPr>
      </w:pPr>
      <w:r w:rsidRPr="00787594">
        <w:rPr>
          <w:rFonts w:ascii="Arial" w:hAnsi="Arial" w:cs="Arial"/>
        </w:rPr>
        <w:t xml:space="preserve">Bytový dům Rezidence U Muzea </w:t>
      </w:r>
      <w:r w:rsidR="006A447A">
        <w:rPr>
          <w:rFonts w:ascii="Arial" w:hAnsi="Arial" w:cs="Arial"/>
        </w:rPr>
        <w:t>(</w:t>
      </w:r>
      <w:hyperlink r:id="rId8" w:history="1">
        <w:r w:rsidR="006A447A" w:rsidRPr="00E802B0">
          <w:rPr>
            <w:rStyle w:val="Hypertextovodkaz"/>
            <w:rFonts w:ascii="Arial" w:hAnsi="Arial" w:cs="Arial"/>
          </w:rPr>
          <w:t>www.u-muzea.cz</w:t>
        </w:r>
      </w:hyperlink>
      <w:r w:rsidR="006A447A">
        <w:rPr>
          <w:rFonts w:ascii="Arial" w:hAnsi="Arial" w:cs="Arial"/>
        </w:rPr>
        <w:t xml:space="preserve">) </w:t>
      </w:r>
      <w:r w:rsidRPr="00787594">
        <w:rPr>
          <w:rFonts w:ascii="Arial" w:hAnsi="Arial" w:cs="Arial"/>
        </w:rPr>
        <w:t>nabídne celkem 42 bytů o dispozicích od 2+kk po 4+kk přímo nad Václavským náměstím, na rozhraní Vinohrad a Nového Města. Lokalita v samém srdci Prahy, na nároží ulic Římská a Rubešova, činí z</w:t>
      </w:r>
      <w:r w:rsidR="006A447A">
        <w:rPr>
          <w:rFonts w:ascii="Arial" w:hAnsi="Arial" w:cs="Arial"/>
        </w:rPr>
        <w:t xml:space="preserve"> projektu </w:t>
      </w:r>
      <w:r w:rsidRPr="00787594">
        <w:rPr>
          <w:rFonts w:ascii="Arial" w:hAnsi="Arial" w:cs="Arial"/>
        </w:rPr>
        <w:t>ideální volbu pro ty, kdo dokáží rozeznat a ocenit skutečně trvalé hodnoty.</w:t>
      </w:r>
      <w:r>
        <w:rPr>
          <w:rFonts w:ascii="Arial" w:hAnsi="Arial" w:cs="Arial"/>
        </w:rPr>
        <w:t xml:space="preserve"> </w:t>
      </w:r>
      <w:r w:rsidR="006A447A">
        <w:rPr>
          <w:rFonts w:ascii="Arial" w:hAnsi="Arial" w:cs="Arial"/>
        </w:rPr>
        <w:t>B</w:t>
      </w:r>
      <w:r w:rsidRPr="00787594">
        <w:rPr>
          <w:rFonts w:ascii="Arial" w:hAnsi="Arial" w:cs="Arial"/>
        </w:rPr>
        <w:t xml:space="preserve">ytový areál Rezidence Park </w:t>
      </w:r>
      <w:proofErr w:type="spellStart"/>
      <w:r w:rsidRPr="00787594">
        <w:rPr>
          <w:rFonts w:ascii="Arial" w:hAnsi="Arial" w:cs="Arial"/>
        </w:rPr>
        <w:t>Nikolajka</w:t>
      </w:r>
      <w:proofErr w:type="spellEnd"/>
      <w:r w:rsidR="006A447A">
        <w:rPr>
          <w:rFonts w:ascii="Arial" w:hAnsi="Arial" w:cs="Arial"/>
        </w:rPr>
        <w:t xml:space="preserve"> (</w:t>
      </w:r>
      <w:hyperlink r:id="rId9" w:history="1">
        <w:r w:rsidR="006A447A" w:rsidRPr="00E802B0">
          <w:rPr>
            <w:rStyle w:val="Hypertextovodkaz"/>
            <w:rFonts w:ascii="Arial" w:hAnsi="Arial" w:cs="Arial"/>
          </w:rPr>
          <w:t>www.park-nikolajka.cz</w:t>
        </w:r>
      </w:hyperlink>
      <w:r w:rsidR="006A447A">
        <w:rPr>
          <w:rFonts w:ascii="Arial" w:hAnsi="Arial" w:cs="Arial"/>
        </w:rPr>
        <w:t>)</w:t>
      </w:r>
      <w:r w:rsidRPr="00787594">
        <w:rPr>
          <w:rFonts w:ascii="Arial" w:hAnsi="Arial" w:cs="Arial"/>
        </w:rPr>
        <w:t xml:space="preserve"> je tvořen dvěma komorními </w:t>
      </w:r>
      <w:proofErr w:type="spellStart"/>
      <w:r w:rsidRPr="00787594">
        <w:rPr>
          <w:rFonts w:ascii="Arial" w:hAnsi="Arial" w:cs="Arial"/>
        </w:rPr>
        <w:t>viladomy</w:t>
      </w:r>
      <w:proofErr w:type="spellEnd"/>
      <w:r w:rsidRPr="00787594">
        <w:rPr>
          <w:rFonts w:ascii="Arial" w:hAnsi="Arial" w:cs="Arial"/>
        </w:rPr>
        <w:t xml:space="preserve"> se střešními terasami a nachází se v ulici U </w:t>
      </w:r>
      <w:proofErr w:type="spellStart"/>
      <w:r w:rsidRPr="00787594">
        <w:rPr>
          <w:rFonts w:ascii="Arial" w:hAnsi="Arial" w:cs="Arial"/>
        </w:rPr>
        <w:t>Nikolajky</w:t>
      </w:r>
      <w:proofErr w:type="spellEnd"/>
      <w:r w:rsidRPr="00787594">
        <w:rPr>
          <w:rFonts w:ascii="Arial" w:hAnsi="Arial" w:cs="Arial"/>
        </w:rPr>
        <w:t xml:space="preserve"> </w:t>
      </w:r>
      <w:r w:rsidR="006A447A" w:rsidRPr="00787594">
        <w:rPr>
          <w:rFonts w:ascii="Arial" w:hAnsi="Arial" w:cs="Arial"/>
        </w:rPr>
        <w:t>na rozhraní Malé Strany a Smíchova</w:t>
      </w:r>
      <w:r w:rsidR="006A447A">
        <w:rPr>
          <w:rFonts w:ascii="Arial" w:hAnsi="Arial" w:cs="Arial"/>
        </w:rPr>
        <w:t xml:space="preserve">. </w:t>
      </w:r>
      <w:r w:rsidRPr="00787594">
        <w:rPr>
          <w:rFonts w:ascii="Arial" w:hAnsi="Arial" w:cs="Arial"/>
        </w:rPr>
        <w:t>Unikátní projekt ve vilové čtvrti, jehož realizace od nákupu pozemku až po úspěšnou kolaudaci trvala téměř 13 let, nabízí celkem 105 bytů o</w:t>
      </w:r>
      <w:r w:rsidR="006A447A">
        <w:rPr>
          <w:rFonts w:ascii="Arial" w:hAnsi="Arial" w:cs="Arial"/>
        </w:rPr>
        <w:t xml:space="preserve"> dispozicích od 1+kk až po 5+kk s nádherným výhledem </w:t>
      </w:r>
      <w:r w:rsidRPr="00787594">
        <w:rPr>
          <w:rFonts w:ascii="Arial" w:hAnsi="Arial" w:cs="Arial"/>
        </w:rPr>
        <w:t xml:space="preserve">do zeleně nebo na panorama Prahy. </w:t>
      </w:r>
      <w:r>
        <w:rPr>
          <w:rFonts w:ascii="Arial" w:hAnsi="Arial" w:cs="Arial"/>
        </w:rPr>
        <w:t xml:space="preserve">Oba projekty nabídne CENTRAL GROUP </w:t>
      </w:r>
      <w:r w:rsidR="006A447A">
        <w:rPr>
          <w:rFonts w:ascii="Arial" w:hAnsi="Arial" w:cs="Arial"/>
        </w:rPr>
        <w:t xml:space="preserve">již </w:t>
      </w:r>
      <w:r>
        <w:rPr>
          <w:rFonts w:ascii="Arial" w:hAnsi="Arial" w:cs="Arial"/>
        </w:rPr>
        <w:t xml:space="preserve">zcela dokončené a zkolaudované. </w:t>
      </w:r>
    </w:p>
    <w:p w:rsidR="00787594" w:rsidRDefault="00787594" w:rsidP="00787594">
      <w:pPr>
        <w:spacing w:after="0"/>
        <w:jc w:val="both"/>
        <w:rPr>
          <w:rFonts w:ascii="Arial" w:hAnsi="Arial" w:cs="Arial"/>
        </w:rPr>
      </w:pPr>
    </w:p>
    <w:p w:rsidR="00C70EE1" w:rsidRDefault="00787594" w:rsidP="00787594">
      <w:pPr>
        <w:spacing w:after="0"/>
        <w:jc w:val="both"/>
        <w:rPr>
          <w:rFonts w:ascii="Arial" w:hAnsi="Arial" w:cs="Arial"/>
        </w:rPr>
      </w:pPr>
      <w:r w:rsidRPr="00787594">
        <w:rPr>
          <w:rFonts w:ascii="Arial" w:hAnsi="Arial" w:cs="Arial"/>
          <w:i/>
        </w:rPr>
        <w:t xml:space="preserve">„Oba </w:t>
      </w:r>
      <w:r w:rsidR="006A447A">
        <w:rPr>
          <w:rFonts w:ascii="Arial" w:hAnsi="Arial" w:cs="Arial"/>
          <w:i/>
        </w:rPr>
        <w:t>naše exkluzivní projekty</w:t>
      </w:r>
      <w:r w:rsidRPr="00787594">
        <w:rPr>
          <w:rFonts w:ascii="Arial" w:hAnsi="Arial" w:cs="Arial"/>
          <w:i/>
        </w:rPr>
        <w:t xml:space="preserve"> patří bezesporu k tomu nejzajímavějšímu, co s</w:t>
      </w:r>
      <w:r w:rsidR="006E7A97">
        <w:rPr>
          <w:rFonts w:ascii="Arial" w:hAnsi="Arial" w:cs="Arial"/>
          <w:i/>
        </w:rPr>
        <w:t>e</w:t>
      </w:r>
      <w:r w:rsidRPr="00787594">
        <w:rPr>
          <w:rFonts w:ascii="Arial" w:hAnsi="Arial" w:cs="Arial"/>
          <w:i/>
        </w:rPr>
        <w:t xml:space="preserve"> v posledních letech v centru Prahy </w:t>
      </w:r>
      <w:r w:rsidR="006A447A">
        <w:rPr>
          <w:rFonts w:ascii="Arial" w:hAnsi="Arial" w:cs="Arial"/>
          <w:i/>
        </w:rPr>
        <w:t xml:space="preserve">úspěšně dokončilo. Jak Rezidence U Muzea, tak i Park </w:t>
      </w:r>
      <w:proofErr w:type="spellStart"/>
      <w:r w:rsidR="006A447A">
        <w:rPr>
          <w:rFonts w:ascii="Arial" w:hAnsi="Arial" w:cs="Arial"/>
          <w:i/>
        </w:rPr>
        <w:t>Nikolajka</w:t>
      </w:r>
      <w:proofErr w:type="spellEnd"/>
      <w:r w:rsidR="006A447A">
        <w:rPr>
          <w:rFonts w:ascii="Arial" w:hAnsi="Arial" w:cs="Arial"/>
          <w:i/>
        </w:rPr>
        <w:t xml:space="preserve"> n</w:t>
      </w:r>
      <w:r w:rsidRPr="00787594">
        <w:rPr>
          <w:rFonts w:ascii="Arial" w:hAnsi="Arial" w:cs="Arial"/>
          <w:i/>
        </w:rPr>
        <w:t>epochybně představují výjimečné bydlení pro náročné klienty, kteří nejsou zvyklí dělat kompromisy</w:t>
      </w:r>
      <w:r w:rsidR="006A447A">
        <w:rPr>
          <w:rFonts w:ascii="Arial" w:hAnsi="Arial" w:cs="Arial"/>
          <w:i/>
        </w:rPr>
        <w:t xml:space="preserve"> ani v životě, ani v bydlení. </w:t>
      </w:r>
      <w:r w:rsidR="006E7A97">
        <w:rPr>
          <w:rFonts w:ascii="Arial" w:hAnsi="Arial" w:cs="Arial"/>
          <w:i/>
        </w:rPr>
        <w:t>Nabídk</w:t>
      </w:r>
      <w:r w:rsidR="001C66CF">
        <w:rPr>
          <w:rFonts w:ascii="Arial" w:hAnsi="Arial" w:cs="Arial"/>
          <w:i/>
        </w:rPr>
        <w:t>a</w:t>
      </w:r>
      <w:bookmarkStart w:id="0" w:name="_GoBack"/>
      <w:bookmarkEnd w:id="0"/>
      <w:r w:rsidR="006E7A97">
        <w:rPr>
          <w:rFonts w:ascii="Arial" w:hAnsi="Arial" w:cs="Arial"/>
          <w:i/>
        </w:rPr>
        <w:t xml:space="preserve"> obou projektů znamená vstup CENTRAL GROUP do segmentu luxusního exkluzivního bydlení, v němž chceme v budoucnu realizovat i další projekty</w:t>
      </w:r>
      <w:r w:rsidRPr="00787594">
        <w:rPr>
          <w:rFonts w:ascii="Arial" w:hAnsi="Arial" w:cs="Arial"/>
          <w:i/>
        </w:rPr>
        <w:t>,“</w:t>
      </w:r>
      <w:r>
        <w:rPr>
          <w:rFonts w:ascii="Arial" w:hAnsi="Arial" w:cs="Arial"/>
        </w:rPr>
        <w:t xml:space="preserve"> </w:t>
      </w:r>
      <w:r w:rsidR="00E442D7">
        <w:rPr>
          <w:rFonts w:ascii="Arial" w:hAnsi="Arial" w:cs="Arial"/>
        </w:rPr>
        <w:t>říká</w:t>
      </w:r>
      <w:r>
        <w:rPr>
          <w:rFonts w:ascii="Arial" w:hAnsi="Arial" w:cs="Arial"/>
        </w:rPr>
        <w:t xml:space="preserve"> Kunovský.</w:t>
      </w:r>
    </w:p>
    <w:p w:rsidR="00787594" w:rsidRDefault="00787594" w:rsidP="00787594">
      <w:pPr>
        <w:spacing w:after="0"/>
        <w:jc w:val="both"/>
        <w:rPr>
          <w:rFonts w:ascii="Arial" w:hAnsi="Arial" w:cs="Arial"/>
        </w:rPr>
      </w:pPr>
    </w:p>
    <w:p w:rsidR="00787594" w:rsidRPr="00787594" w:rsidRDefault="00787594" w:rsidP="00787594">
      <w:pPr>
        <w:spacing w:after="0"/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CENTRAL GROUP </w:t>
      </w:r>
      <w:r w:rsidR="00DF157C">
        <w:rPr>
          <w:rFonts w:ascii="Arial" w:hAnsi="Arial" w:cs="Arial"/>
          <w:b/>
          <w:sz w:val="23"/>
          <w:szCs w:val="23"/>
        </w:rPr>
        <w:t>s</w:t>
      </w:r>
      <w:r w:rsidR="008824CF">
        <w:rPr>
          <w:rFonts w:ascii="Arial" w:hAnsi="Arial" w:cs="Arial"/>
          <w:b/>
          <w:sz w:val="23"/>
          <w:szCs w:val="23"/>
        </w:rPr>
        <w:t>taví po Praze téměř 1.800 bytů</w:t>
      </w:r>
      <w:r w:rsidR="00DF157C">
        <w:rPr>
          <w:rFonts w:ascii="Arial" w:hAnsi="Arial" w:cs="Arial"/>
          <w:b/>
          <w:sz w:val="23"/>
          <w:szCs w:val="23"/>
        </w:rPr>
        <w:t xml:space="preserve"> a v tomto ohledu nemá konkurenci</w:t>
      </w:r>
    </w:p>
    <w:p w:rsidR="00787594" w:rsidRPr="00787594" w:rsidRDefault="00787594" w:rsidP="00787594">
      <w:pPr>
        <w:spacing w:after="0"/>
        <w:jc w:val="both"/>
        <w:rPr>
          <w:rFonts w:ascii="Arial" w:hAnsi="Arial" w:cs="Arial"/>
          <w:sz w:val="6"/>
          <w:szCs w:val="6"/>
        </w:rPr>
      </w:pPr>
    </w:p>
    <w:p w:rsidR="008824CF" w:rsidRPr="00787594" w:rsidRDefault="00787594" w:rsidP="008824CF">
      <w:pPr>
        <w:spacing w:after="0"/>
        <w:jc w:val="both"/>
        <w:rPr>
          <w:rFonts w:ascii="Arial" w:hAnsi="Arial" w:cs="Arial"/>
        </w:rPr>
      </w:pPr>
      <w:r w:rsidRPr="00787594">
        <w:rPr>
          <w:rFonts w:ascii="Arial" w:hAnsi="Arial" w:cs="Arial"/>
        </w:rPr>
        <w:t>Výsadní postavení společnosti CENTRAL GROUP na českém trhu a obrovský náskok proti všem konkurentů</w:t>
      </w:r>
      <w:r w:rsidR="008824CF">
        <w:rPr>
          <w:rFonts w:ascii="Arial" w:hAnsi="Arial" w:cs="Arial"/>
        </w:rPr>
        <w:t>m potvrzuje také objem bytů</w:t>
      </w:r>
      <w:r w:rsidR="00E442D7">
        <w:rPr>
          <w:rFonts w:ascii="Arial" w:hAnsi="Arial" w:cs="Arial"/>
        </w:rPr>
        <w:t>, které má společnost v letošním roce</w:t>
      </w:r>
      <w:r w:rsidR="008824CF">
        <w:rPr>
          <w:rFonts w:ascii="Arial" w:hAnsi="Arial" w:cs="Arial"/>
        </w:rPr>
        <w:t xml:space="preserve"> ve výstavbě. </w:t>
      </w:r>
      <w:r w:rsidR="008824CF" w:rsidRPr="00787594">
        <w:rPr>
          <w:rFonts w:ascii="Arial" w:hAnsi="Arial" w:cs="Arial"/>
        </w:rPr>
        <w:t xml:space="preserve">CENTRAL GROUP </w:t>
      </w:r>
      <w:r w:rsidR="00E442D7">
        <w:rPr>
          <w:rFonts w:ascii="Arial" w:hAnsi="Arial" w:cs="Arial"/>
        </w:rPr>
        <w:t xml:space="preserve">má totiž </w:t>
      </w:r>
      <w:r w:rsidR="008824CF" w:rsidRPr="00787594">
        <w:rPr>
          <w:rFonts w:ascii="Arial" w:hAnsi="Arial" w:cs="Arial"/>
        </w:rPr>
        <w:t xml:space="preserve">v roce 2015 ve fázi probíhající výstavby celkem téměř 1.800 bytů (včetně </w:t>
      </w:r>
      <w:r w:rsidR="00E442D7">
        <w:rPr>
          <w:rFonts w:ascii="Arial" w:hAnsi="Arial" w:cs="Arial"/>
        </w:rPr>
        <w:t>p</w:t>
      </w:r>
      <w:r w:rsidR="008824CF" w:rsidRPr="00787594">
        <w:rPr>
          <w:rFonts w:ascii="Arial" w:hAnsi="Arial" w:cs="Arial"/>
        </w:rPr>
        <w:t xml:space="preserve">rojektů zahájených </w:t>
      </w:r>
      <w:r w:rsidR="00E442D7">
        <w:rPr>
          <w:rFonts w:ascii="Arial" w:hAnsi="Arial" w:cs="Arial"/>
        </w:rPr>
        <w:t>o rok dříve)</w:t>
      </w:r>
      <w:r w:rsidR="008824CF" w:rsidRPr="00787594">
        <w:rPr>
          <w:rFonts w:ascii="Arial" w:hAnsi="Arial" w:cs="Arial"/>
        </w:rPr>
        <w:t xml:space="preserve">. To odpovídá </w:t>
      </w:r>
      <w:r w:rsidR="00E442D7">
        <w:rPr>
          <w:rFonts w:ascii="Arial" w:hAnsi="Arial" w:cs="Arial"/>
        </w:rPr>
        <w:t>přibližně</w:t>
      </w:r>
      <w:r w:rsidR="008824CF" w:rsidRPr="00787594">
        <w:rPr>
          <w:rFonts w:ascii="Arial" w:hAnsi="Arial" w:cs="Arial"/>
        </w:rPr>
        <w:t xml:space="preserve"> polovině veškeré roční developerské stavební aktivity v hlavním městě</w:t>
      </w:r>
      <w:r w:rsidR="008824CF">
        <w:rPr>
          <w:rFonts w:ascii="Arial" w:hAnsi="Arial" w:cs="Arial"/>
        </w:rPr>
        <w:t>.</w:t>
      </w:r>
      <w:r w:rsidR="008824CF" w:rsidRPr="00787594">
        <w:rPr>
          <w:rFonts w:ascii="Arial" w:hAnsi="Arial" w:cs="Arial"/>
        </w:rPr>
        <w:t xml:space="preserve"> Podle </w:t>
      </w:r>
      <w:r w:rsidR="008824CF">
        <w:rPr>
          <w:rFonts w:ascii="Arial" w:hAnsi="Arial" w:cs="Arial"/>
        </w:rPr>
        <w:t xml:space="preserve">ČSÚ totiž </w:t>
      </w:r>
      <w:r w:rsidR="008824CF" w:rsidRPr="00787594">
        <w:rPr>
          <w:rFonts w:ascii="Arial" w:hAnsi="Arial" w:cs="Arial"/>
        </w:rPr>
        <w:t>bylo v loňském roce v bytových domech v</w:t>
      </w:r>
      <w:r w:rsidR="008824CF">
        <w:rPr>
          <w:rFonts w:ascii="Arial" w:hAnsi="Arial" w:cs="Arial"/>
        </w:rPr>
        <w:t xml:space="preserve"> Praze zahájeno celkem </w:t>
      </w:r>
      <w:r w:rsidR="008824CF" w:rsidRPr="00787594">
        <w:rPr>
          <w:rFonts w:ascii="Arial" w:hAnsi="Arial" w:cs="Arial"/>
        </w:rPr>
        <w:t>3.625 bytů</w:t>
      </w:r>
      <w:r w:rsidR="00E442D7">
        <w:rPr>
          <w:rFonts w:ascii="Arial" w:hAnsi="Arial" w:cs="Arial"/>
        </w:rPr>
        <w:t>, přičemž toto číslo bylo nejvyšší za posledních 5 let</w:t>
      </w:r>
      <w:r w:rsidR="008824CF" w:rsidRPr="00787594">
        <w:rPr>
          <w:rFonts w:ascii="Arial" w:hAnsi="Arial" w:cs="Arial"/>
        </w:rPr>
        <w:t xml:space="preserve">. </w:t>
      </w:r>
    </w:p>
    <w:p w:rsidR="008824CF" w:rsidRDefault="008824CF" w:rsidP="008824CF">
      <w:pPr>
        <w:spacing w:after="0"/>
        <w:jc w:val="both"/>
        <w:rPr>
          <w:rFonts w:ascii="Arial" w:hAnsi="Arial" w:cs="Arial"/>
        </w:rPr>
      </w:pPr>
    </w:p>
    <w:p w:rsidR="008824CF" w:rsidRDefault="008824CF" w:rsidP="00787594">
      <w:pPr>
        <w:spacing w:after="0"/>
        <w:jc w:val="both"/>
        <w:rPr>
          <w:rFonts w:ascii="Arial" w:hAnsi="Arial" w:cs="Arial"/>
        </w:rPr>
      </w:pPr>
      <w:r w:rsidRPr="00E442D7">
        <w:rPr>
          <w:rFonts w:ascii="Arial" w:hAnsi="Arial" w:cs="Arial"/>
          <w:i/>
        </w:rPr>
        <w:t xml:space="preserve">„Objem bytů ve výstavbě je jediným objektivním ukazatelem tržní pozice. Vylučuje totiž kouzlení s čísly a matení veřejnosti takzvanými prodeji na rezervační smlouvy, což není nic jiného, než </w:t>
      </w:r>
      <w:r w:rsidR="00E442D7">
        <w:rPr>
          <w:rFonts w:ascii="Arial" w:hAnsi="Arial" w:cs="Arial"/>
          <w:i/>
        </w:rPr>
        <w:t xml:space="preserve">prodávaní falešných nadějí na projekty, </w:t>
      </w:r>
      <w:r w:rsidRPr="00E442D7">
        <w:rPr>
          <w:rFonts w:ascii="Arial" w:hAnsi="Arial" w:cs="Arial"/>
          <w:i/>
        </w:rPr>
        <w:t xml:space="preserve">které možná vůbec nikdy nebudou stát. Při srovnání skutečné stavební aktivity má najednou ona </w:t>
      </w:r>
      <w:r w:rsidR="00E442D7">
        <w:rPr>
          <w:rFonts w:ascii="Arial" w:hAnsi="Arial" w:cs="Arial"/>
          <w:i/>
        </w:rPr>
        <w:t xml:space="preserve">proklamovaná </w:t>
      </w:r>
      <w:r w:rsidRPr="00E442D7">
        <w:rPr>
          <w:rFonts w:ascii="Arial" w:hAnsi="Arial" w:cs="Arial"/>
          <w:i/>
        </w:rPr>
        <w:t>„velká pětka“ pražských developerů úplně jiné složení</w:t>
      </w:r>
      <w:r w:rsidR="00E442D7">
        <w:rPr>
          <w:rFonts w:ascii="Arial" w:hAnsi="Arial" w:cs="Arial"/>
          <w:i/>
        </w:rPr>
        <w:t>, než na základě takzvaných prodejů</w:t>
      </w:r>
      <w:r w:rsidRPr="00E442D7">
        <w:rPr>
          <w:rFonts w:ascii="Arial" w:hAnsi="Arial" w:cs="Arial"/>
          <w:i/>
        </w:rPr>
        <w:t>,“</w:t>
      </w:r>
      <w:r>
        <w:rPr>
          <w:rFonts w:ascii="Arial" w:hAnsi="Arial" w:cs="Arial"/>
        </w:rPr>
        <w:t xml:space="preserve"> uzavírá Dušan Kunovský. </w:t>
      </w:r>
    </w:p>
    <w:p w:rsidR="008824CF" w:rsidRDefault="008824CF" w:rsidP="00787594">
      <w:pPr>
        <w:spacing w:after="0"/>
        <w:jc w:val="both"/>
        <w:rPr>
          <w:rFonts w:ascii="Arial" w:hAnsi="Arial" w:cs="Arial"/>
        </w:rPr>
      </w:pPr>
    </w:p>
    <w:p w:rsidR="008824CF" w:rsidRDefault="008824CF" w:rsidP="00787594">
      <w:pPr>
        <w:spacing w:after="0"/>
        <w:jc w:val="both"/>
        <w:rPr>
          <w:rFonts w:ascii="Arial" w:hAnsi="Arial" w:cs="Arial"/>
        </w:rPr>
      </w:pPr>
    </w:p>
    <w:p w:rsidR="006D3EB8" w:rsidRDefault="006D3EB8" w:rsidP="00651991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2A1D9E" w:rsidRDefault="002A1D9E" w:rsidP="00516528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036B56" w:rsidRPr="00612F63" w:rsidRDefault="00BB55B5" w:rsidP="00612F63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Pro více informací </w:t>
      </w:r>
      <w:r w:rsidR="00BE0CE4" w:rsidRP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nás 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můžete </w:t>
      </w: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>kontakt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>ovat</w:t>
      </w:r>
      <w:r w:rsidR="00BE0CE4" w:rsidRP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na e-mail: </w:t>
      </w:r>
      <w:hyperlink r:id="rId10" w:history="1">
        <w:r w:rsidR="00BE0CE4" w:rsidRPr="00BE0CE4">
          <w:rPr>
            <w:rStyle w:val="Hypertextovodkaz"/>
            <w:rFonts w:ascii="Arial" w:hAnsi="Arial" w:cs="Arial"/>
            <w:sz w:val="16"/>
            <w:szCs w:val="16"/>
            <w:lang w:eastAsia="cs-CZ"/>
          </w:rPr>
          <w:t>media@central-group.cz</w:t>
        </w:r>
      </w:hyperlink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nebo telefonicky:</w:t>
      </w: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Milan Jankovský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</w:t>
      </w:r>
      <w:r w:rsidR="00DE60AE">
        <w:rPr>
          <w:rFonts w:ascii="Arial" w:hAnsi="Arial" w:cs="Arial"/>
          <w:color w:val="000000"/>
          <w:sz w:val="16"/>
          <w:szCs w:val="16"/>
          <w:lang w:eastAsia="cs-CZ"/>
        </w:rPr>
        <w:t>–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</w:t>
      </w:r>
      <w:r w:rsidR="00924562">
        <w:rPr>
          <w:rFonts w:ascii="Arial" w:hAnsi="Arial" w:cs="Arial"/>
          <w:color w:val="000000"/>
          <w:sz w:val="16"/>
          <w:szCs w:val="16"/>
          <w:lang w:eastAsia="cs-CZ"/>
        </w:rPr>
        <w:t xml:space="preserve">tiskový mluvčí 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>(</w:t>
      </w: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>+420 602 124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> </w:t>
      </w: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>696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), </w:t>
      </w:r>
      <w:r w:rsidR="00582D61">
        <w:rPr>
          <w:rFonts w:ascii="Arial" w:hAnsi="Arial" w:cs="Arial"/>
          <w:color w:val="000000"/>
          <w:sz w:val="16"/>
          <w:szCs w:val="16"/>
          <w:lang w:eastAsia="cs-CZ"/>
        </w:rPr>
        <w:t>který může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</w:t>
      </w:r>
      <w:r w:rsidR="00ED1CF5">
        <w:rPr>
          <w:rFonts w:ascii="Arial" w:hAnsi="Arial" w:cs="Arial"/>
          <w:color w:val="000000"/>
          <w:sz w:val="16"/>
          <w:szCs w:val="16"/>
          <w:lang w:eastAsia="cs-CZ"/>
        </w:rPr>
        <w:t xml:space="preserve">také 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zprostředkovat jednání </w:t>
      </w:r>
      <w:r w:rsidR="00ED1CF5">
        <w:rPr>
          <w:rFonts w:ascii="Arial" w:hAnsi="Arial" w:cs="Arial"/>
          <w:color w:val="000000"/>
          <w:sz w:val="16"/>
          <w:szCs w:val="16"/>
          <w:lang w:eastAsia="cs-CZ"/>
        </w:rPr>
        <w:t>s vedoucími pracovníky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CENTRA</w:t>
      </w:r>
      <w:r w:rsidR="00ED1CF5">
        <w:rPr>
          <w:rFonts w:ascii="Arial" w:hAnsi="Arial" w:cs="Arial"/>
          <w:color w:val="000000"/>
          <w:sz w:val="16"/>
          <w:szCs w:val="16"/>
          <w:lang w:eastAsia="cs-CZ"/>
        </w:rPr>
        <w:t>L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GROUP</w:t>
      </w:r>
      <w:r w:rsidR="00ED1CF5">
        <w:rPr>
          <w:rFonts w:ascii="Arial" w:hAnsi="Arial" w:cs="Arial"/>
          <w:color w:val="000000"/>
          <w:sz w:val="16"/>
          <w:szCs w:val="16"/>
          <w:lang w:eastAsia="cs-CZ"/>
        </w:rPr>
        <w:t xml:space="preserve"> nebo jejich vyjádření.</w:t>
      </w: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</w:t>
      </w:r>
      <w:r w:rsidR="00036B56" w:rsidRPr="007A53B0">
        <w:rPr>
          <w:rFonts w:ascii="Arial" w:hAnsi="Arial" w:cs="Arial"/>
          <w:sz w:val="16"/>
          <w:szCs w:val="16"/>
          <w:lang w:eastAsia="cs-CZ"/>
        </w:rPr>
        <w:t>Podrobné informace o společnosti CENTRAL GROUP a její nabídce naleznete na </w:t>
      </w:r>
      <w:hyperlink r:id="rId11" w:history="1">
        <w:r w:rsidR="00036B56" w:rsidRPr="007A53B0">
          <w:rPr>
            <w:rStyle w:val="Hypertextovodkaz"/>
            <w:rFonts w:ascii="Arial" w:hAnsi="Arial" w:cs="Arial"/>
            <w:color w:val="auto"/>
            <w:sz w:val="16"/>
            <w:szCs w:val="16"/>
            <w:lang w:eastAsia="cs-CZ"/>
          </w:rPr>
          <w:t>www.central-group.cz</w:t>
        </w:r>
      </w:hyperlink>
      <w:r w:rsidR="00036B56" w:rsidRPr="007A53B0">
        <w:rPr>
          <w:rFonts w:ascii="Arial" w:hAnsi="Arial" w:cs="Arial"/>
          <w:sz w:val="16"/>
          <w:szCs w:val="16"/>
          <w:lang w:eastAsia="cs-CZ"/>
        </w:rPr>
        <w:t xml:space="preserve">, kde je také sekce </w:t>
      </w:r>
      <w:hyperlink r:id="rId12" w:history="1">
        <w:r w:rsidR="00036B56" w:rsidRPr="007A53B0">
          <w:rPr>
            <w:rStyle w:val="Hypertextovodkaz"/>
            <w:rFonts w:ascii="Arial" w:hAnsi="Arial" w:cs="Arial"/>
            <w:color w:val="auto"/>
            <w:sz w:val="16"/>
            <w:szCs w:val="16"/>
            <w:lang w:eastAsia="cs-CZ"/>
          </w:rPr>
          <w:t>Pro média</w:t>
        </w:r>
      </w:hyperlink>
      <w:r w:rsidR="00036B56" w:rsidRPr="007A53B0">
        <w:rPr>
          <w:rFonts w:ascii="Arial" w:hAnsi="Arial" w:cs="Arial"/>
          <w:sz w:val="16"/>
          <w:szCs w:val="16"/>
          <w:lang w:eastAsia="cs-CZ"/>
        </w:rPr>
        <w:t xml:space="preserve"> a sekce </w:t>
      </w:r>
      <w:hyperlink r:id="rId13" w:history="1">
        <w:r w:rsidR="00FB27DA">
          <w:rPr>
            <w:rStyle w:val="Hypertextovodkaz"/>
            <w:rFonts w:ascii="Arial" w:hAnsi="Arial" w:cs="Arial"/>
            <w:color w:val="auto"/>
            <w:sz w:val="16"/>
            <w:szCs w:val="16"/>
            <w:lang w:eastAsia="cs-CZ"/>
          </w:rPr>
          <w:t>O</w:t>
        </w:r>
      </w:hyperlink>
      <w:r w:rsidR="00FB27DA">
        <w:rPr>
          <w:rStyle w:val="Hypertextovodkaz"/>
          <w:rFonts w:ascii="Arial" w:hAnsi="Arial" w:cs="Arial"/>
          <w:color w:val="auto"/>
          <w:sz w:val="16"/>
          <w:szCs w:val="16"/>
          <w:lang w:eastAsia="cs-CZ"/>
        </w:rPr>
        <w:t xml:space="preserve"> společnosti</w:t>
      </w:r>
      <w:r w:rsidR="00036B56" w:rsidRPr="007A53B0">
        <w:rPr>
          <w:rFonts w:ascii="Arial" w:hAnsi="Arial" w:cs="Arial"/>
          <w:sz w:val="16"/>
          <w:szCs w:val="16"/>
          <w:lang w:eastAsia="cs-CZ"/>
        </w:rPr>
        <w:t>.</w:t>
      </w:r>
    </w:p>
    <w:p w:rsidR="00036B56" w:rsidRDefault="00036B56" w:rsidP="00036B56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DE60AE" w:rsidRDefault="00036B56" w:rsidP="00036B56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>CENTRAL GROUP je jednoznačně největším rezidenč</w:t>
      </w:r>
      <w:r w:rsidR="00582D61">
        <w:rPr>
          <w:rFonts w:ascii="Arial" w:hAnsi="Arial" w:cs="Arial"/>
          <w:sz w:val="16"/>
          <w:szCs w:val="16"/>
          <w:lang w:eastAsia="cs-CZ"/>
        </w:rPr>
        <w:t xml:space="preserve">ním developerem a investorem </w:t>
      </w:r>
      <w:r w:rsidR="004D14BF">
        <w:rPr>
          <w:rFonts w:ascii="Arial" w:hAnsi="Arial" w:cs="Arial"/>
          <w:sz w:val="16"/>
          <w:szCs w:val="16"/>
          <w:lang w:eastAsia="cs-CZ"/>
        </w:rPr>
        <w:t xml:space="preserve">nové bytové výstavby </w:t>
      </w:r>
      <w:r w:rsidR="00582D61">
        <w:rPr>
          <w:rFonts w:ascii="Arial" w:hAnsi="Arial" w:cs="Arial"/>
          <w:sz w:val="16"/>
          <w:szCs w:val="16"/>
          <w:lang w:eastAsia="cs-CZ"/>
        </w:rPr>
        <w:t>v Č</w:t>
      </w:r>
      <w:r>
        <w:rPr>
          <w:rFonts w:ascii="Arial" w:hAnsi="Arial" w:cs="Arial"/>
          <w:sz w:val="16"/>
          <w:szCs w:val="16"/>
          <w:lang w:eastAsia="cs-CZ"/>
        </w:rPr>
        <w:t xml:space="preserve">eské republice. </w:t>
      </w:r>
      <w:r w:rsidR="00DE60AE" w:rsidRPr="00DE60AE">
        <w:rPr>
          <w:rFonts w:ascii="Arial" w:hAnsi="Arial" w:cs="Arial"/>
          <w:sz w:val="16"/>
          <w:szCs w:val="16"/>
          <w:lang w:eastAsia="cs-CZ"/>
        </w:rPr>
        <w:t>Potvrzuje to i statistika prestižního mezinárodního magazínu CIJ (</w:t>
      </w:r>
      <w:proofErr w:type="spellStart"/>
      <w:r w:rsidR="00DE60AE" w:rsidRPr="00DE60AE">
        <w:rPr>
          <w:rFonts w:ascii="Arial" w:hAnsi="Arial" w:cs="Arial"/>
          <w:sz w:val="16"/>
          <w:szCs w:val="16"/>
          <w:lang w:eastAsia="cs-CZ"/>
        </w:rPr>
        <w:t>Construction</w:t>
      </w:r>
      <w:proofErr w:type="spellEnd"/>
      <w:r w:rsidR="00DE60AE" w:rsidRPr="00DE60AE">
        <w:rPr>
          <w:rFonts w:ascii="Arial" w:hAnsi="Arial" w:cs="Arial"/>
          <w:sz w:val="16"/>
          <w:szCs w:val="16"/>
          <w:lang w:eastAsia="cs-CZ"/>
        </w:rPr>
        <w:t xml:space="preserve"> &amp; </w:t>
      </w:r>
      <w:proofErr w:type="spellStart"/>
      <w:r w:rsidR="00DE60AE" w:rsidRPr="00DE60AE">
        <w:rPr>
          <w:rFonts w:ascii="Arial" w:hAnsi="Arial" w:cs="Arial"/>
          <w:sz w:val="16"/>
          <w:szCs w:val="16"/>
          <w:lang w:eastAsia="cs-CZ"/>
        </w:rPr>
        <w:t>Investment</w:t>
      </w:r>
      <w:proofErr w:type="spellEnd"/>
      <w:r w:rsidR="00DE60AE" w:rsidRPr="00DE60AE">
        <w:rPr>
          <w:rFonts w:ascii="Arial" w:hAnsi="Arial" w:cs="Arial"/>
          <w:sz w:val="16"/>
          <w:szCs w:val="16"/>
          <w:lang w:eastAsia="cs-CZ"/>
        </w:rPr>
        <w:t xml:space="preserve"> </w:t>
      </w:r>
      <w:proofErr w:type="spellStart"/>
      <w:r w:rsidR="00DE60AE" w:rsidRPr="00DE60AE">
        <w:rPr>
          <w:rFonts w:ascii="Arial" w:hAnsi="Arial" w:cs="Arial"/>
          <w:sz w:val="16"/>
          <w:szCs w:val="16"/>
          <w:lang w:eastAsia="cs-CZ"/>
        </w:rPr>
        <w:t>Journal</w:t>
      </w:r>
      <w:proofErr w:type="spellEnd"/>
      <w:r w:rsidR="00DE60AE" w:rsidRPr="00DE60AE">
        <w:rPr>
          <w:rFonts w:ascii="Arial" w:hAnsi="Arial" w:cs="Arial"/>
          <w:sz w:val="16"/>
          <w:szCs w:val="16"/>
          <w:lang w:eastAsia="cs-CZ"/>
        </w:rPr>
        <w:t xml:space="preserve">), který firmu zařadil mezi desítku největších rezidenčních developerů ve střední a východní Evropě. </w:t>
      </w:r>
      <w:r w:rsidR="00AE4F7C">
        <w:rPr>
          <w:rFonts w:ascii="Arial" w:hAnsi="Arial" w:cs="Arial"/>
          <w:sz w:val="16"/>
          <w:szCs w:val="16"/>
          <w:lang w:eastAsia="cs-CZ"/>
        </w:rPr>
        <w:t>Za 2</w:t>
      </w:r>
      <w:r w:rsidR="00C828CD">
        <w:rPr>
          <w:rFonts w:ascii="Arial" w:hAnsi="Arial" w:cs="Arial"/>
          <w:sz w:val="16"/>
          <w:szCs w:val="16"/>
          <w:lang w:eastAsia="cs-CZ"/>
        </w:rPr>
        <w:t>1</w:t>
      </w:r>
      <w:r w:rsidR="00AE4F7C">
        <w:rPr>
          <w:rFonts w:ascii="Arial" w:hAnsi="Arial" w:cs="Arial"/>
          <w:sz w:val="16"/>
          <w:szCs w:val="16"/>
          <w:lang w:eastAsia="cs-CZ"/>
        </w:rPr>
        <w:t xml:space="preserve"> let svého působení firma </w:t>
      </w:r>
      <w:r w:rsidR="009E60FC">
        <w:rPr>
          <w:rFonts w:ascii="Arial" w:hAnsi="Arial" w:cs="Arial"/>
          <w:sz w:val="16"/>
          <w:szCs w:val="16"/>
          <w:lang w:eastAsia="cs-CZ"/>
        </w:rPr>
        <w:t>dokončila již 13</w:t>
      </w:r>
      <w:r w:rsidR="00C828CD">
        <w:rPr>
          <w:rFonts w:ascii="Arial" w:hAnsi="Arial" w:cs="Arial"/>
          <w:sz w:val="16"/>
          <w:szCs w:val="16"/>
          <w:lang w:eastAsia="cs-CZ"/>
        </w:rPr>
        <w:t>5</w:t>
      </w:r>
      <w:r w:rsidR="009E60FC">
        <w:rPr>
          <w:rFonts w:ascii="Arial" w:hAnsi="Arial" w:cs="Arial"/>
          <w:sz w:val="16"/>
          <w:szCs w:val="16"/>
          <w:lang w:eastAsia="cs-CZ"/>
        </w:rPr>
        <w:t xml:space="preserve"> rezidenčních projektů </w:t>
      </w:r>
      <w:r w:rsidR="00AE4F7C">
        <w:rPr>
          <w:rFonts w:ascii="Arial" w:hAnsi="Arial" w:cs="Arial"/>
          <w:sz w:val="16"/>
          <w:szCs w:val="16"/>
          <w:lang w:eastAsia="cs-CZ"/>
        </w:rPr>
        <w:t>a prodala více než 1</w:t>
      </w:r>
      <w:r w:rsidR="00C828CD">
        <w:rPr>
          <w:rFonts w:ascii="Arial" w:hAnsi="Arial" w:cs="Arial"/>
          <w:sz w:val="16"/>
          <w:szCs w:val="16"/>
          <w:lang w:eastAsia="cs-CZ"/>
        </w:rPr>
        <w:t>1</w:t>
      </w:r>
      <w:r w:rsidR="00AE4F7C">
        <w:rPr>
          <w:rFonts w:ascii="Arial" w:hAnsi="Arial" w:cs="Arial"/>
          <w:sz w:val="16"/>
          <w:szCs w:val="16"/>
          <w:lang w:eastAsia="cs-CZ"/>
        </w:rPr>
        <w:t xml:space="preserve">.000 nových bytů, domů a parcel. </w:t>
      </w:r>
      <w:r>
        <w:rPr>
          <w:rFonts w:ascii="Arial" w:hAnsi="Arial" w:cs="Arial"/>
          <w:sz w:val="16"/>
          <w:szCs w:val="16"/>
          <w:lang w:eastAsia="cs-CZ"/>
        </w:rPr>
        <w:t>Na všechny své byty a rodinné domy poskytuje Garanci nejlepší ceny. To znamená, že pokud někdo najde srovnatelnou nemovitost s lepší cenou oproti nabídce CENTRAL GROUP, firma cenu dorovná a ještě přidá bonus ve výši 100.000 Kč.</w:t>
      </w:r>
    </w:p>
    <w:p w:rsidR="00036B56" w:rsidRDefault="00DE60AE" w:rsidP="00036B56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 xml:space="preserve"> </w:t>
      </w:r>
      <w:r w:rsidR="00036B56">
        <w:rPr>
          <w:rFonts w:ascii="Arial" w:hAnsi="Arial" w:cs="Arial"/>
          <w:sz w:val="16"/>
          <w:szCs w:val="16"/>
          <w:lang w:eastAsia="cs-CZ"/>
        </w:rPr>
        <w:t xml:space="preserve">  </w:t>
      </w:r>
    </w:p>
    <w:p w:rsidR="00036B56" w:rsidRDefault="00036B56" w:rsidP="00036B56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>Společnost dlouhodobě vykazuje stabilní zisk, rostoucí podíl na trhu a pro svou činnost nepotřebuje žádný bankovní úvěr. Za dobu svého působení koncern CENTRAL GROUP uhradil českému státu jen na přímých daních již více než 1</w:t>
      </w:r>
      <w:r>
        <w:rPr>
          <w:rFonts w:ascii="Arial" w:hAnsi="Arial" w:cs="Arial"/>
          <w:b/>
          <w:sz w:val="16"/>
          <w:szCs w:val="16"/>
          <w:lang w:eastAsia="cs-CZ"/>
        </w:rPr>
        <w:t>,</w:t>
      </w:r>
      <w:r w:rsidR="00C828CD">
        <w:rPr>
          <w:rFonts w:ascii="Arial" w:hAnsi="Arial" w:cs="Arial"/>
          <w:sz w:val="16"/>
          <w:szCs w:val="16"/>
          <w:lang w:eastAsia="cs-CZ"/>
        </w:rPr>
        <w:t>7</w:t>
      </w:r>
      <w:r>
        <w:rPr>
          <w:rFonts w:ascii="Arial" w:hAnsi="Arial" w:cs="Arial"/>
          <w:sz w:val="16"/>
          <w:szCs w:val="16"/>
          <w:lang w:eastAsia="cs-CZ"/>
        </w:rPr>
        <w:t xml:space="preserve"> miliardy korun. </w:t>
      </w:r>
      <w:r>
        <w:rPr>
          <w:rFonts w:ascii="Arial" w:hAnsi="Arial" w:cs="Arial"/>
          <w:color w:val="000000"/>
          <w:sz w:val="16"/>
          <w:szCs w:val="16"/>
          <w:lang w:eastAsia="cs-CZ"/>
        </w:rPr>
        <w:t>Významné prostředky věnuje společnost také na obecně prospěšné účely (například na výsadbu zeleně nebo na realizaci veřejných komunikací a inženýrských sítí pro městské části a obce v mnoha desítkách milionů Kč ročně) a také na charitativní činnost (například Nadačnímu fondu pro zdraví dětí zřízenému ve prospěch Ústavu pro péči o matku a dítě v Praze 4 – Podolí).</w:t>
      </w:r>
    </w:p>
    <w:p w:rsidR="00036B56" w:rsidRDefault="00036B56" w:rsidP="00036B56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101297" w:rsidRPr="00136B59" w:rsidRDefault="00036B56" w:rsidP="00136B59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</w:rPr>
        <w:t xml:space="preserve">CENTRAL GROUP je nejen největším českým prodejcem nových bytů a domů, ale také nejaktivnějším investorem v rámci akvizic nových pozemků pro rezidenční výstavbu. V současné době má nakoupené a připravené pozemky pro více </w:t>
      </w:r>
      <w:r w:rsidR="00B00ADD">
        <w:rPr>
          <w:rFonts w:ascii="Arial" w:hAnsi="Arial" w:cs="Arial"/>
          <w:sz w:val="16"/>
          <w:szCs w:val="16"/>
        </w:rPr>
        <w:t>než</w:t>
      </w:r>
      <w:r w:rsidR="00B00ADD" w:rsidRPr="00DE60AE">
        <w:rPr>
          <w:rFonts w:ascii="Arial" w:hAnsi="Arial" w:cs="Arial"/>
          <w:sz w:val="16"/>
          <w:szCs w:val="16"/>
        </w:rPr>
        <w:t xml:space="preserve"> 1</w:t>
      </w:r>
      <w:r w:rsidR="005A33B1">
        <w:rPr>
          <w:rFonts w:ascii="Arial" w:hAnsi="Arial" w:cs="Arial"/>
          <w:sz w:val="16"/>
          <w:szCs w:val="16"/>
        </w:rPr>
        <w:t>4</w:t>
      </w:r>
      <w:r w:rsidR="00D6582D" w:rsidRPr="00DE60AE">
        <w:rPr>
          <w:rFonts w:ascii="Arial" w:hAnsi="Arial" w:cs="Arial"/>
          <w:sz w:val="16"/>
          <w:szCs w:val="16"/>
        </w:rPr>
        <w:t xml:space="preserve">.000 </w:t>
      </w:r>
      <w:r w:rsidR="00D6582D">
        <w:rPr>
          <w:rFonts w:ascii="Arial" w:hAnsi="Arial" w:cs="Arial"/>
          <w:sz w:val="16"/>
          <w:szCs w:val="16"/>
        </w:rPr>
        <w:t xml:space="preserve">nových bytů </w:t>
      </w:r>
      <w:r>
        <w:rPr>
          <w:rFonts w:ascii="Arial" w:hAnsi="Arial" w:cs="Arial"/>
          <w:sz w:val="16"/>
          <w:szCs w:val="16"/>
        </w:rPr>
        <w:t xml:space="preserve">a rodinných domů. Ty plánuje zařadit do prodeje v průběhu příštích </w:t>
      </w:r>
      <w:r w:rsidR="00B00ADD" w:rsidRPr="00DE60AE">
        <w:rPr>
          <w:rFonts w:ascii="Arial" w:hAnsi="Arial" w:cs="Arial"/>
          <w:sz w:val="16"/>
          <w:szCs w:val="16"/>
        </w:rPr>
        <w:t>osmi</w:t>
      </w:r>
      <w:r w:rsidRPr="00DE60A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let. CENTRAL GROUP nadále intenzivně hledá </w:t>
      </w:r>
      <w:r w:rsidR="00AE4F7C">
        <w:rPr>
          <w:rFonts w:ascii="Arial" w:hAnsi="Arial" w:cs="Arial"/>
          <w:sz w:val="16"/>
          <w:szCs w:val="16"/>
        </w:rPr>
        <w:t xml:space="preserve">a nakupuje </w:t>
      </w:r>
      <w:r>
        <w:rPr>
          <w:rFonts w:ascii="Arial" w:hAnsi="Arial" w:cs="Arial"/>
          <w:sz w:val="16"/>
          <w:szCs w:val="16"/>
        </w:rPr>
        <w:t xml:space="preserve">další pozemky a </w:t>
      </w:r>
      <w:proofErr w:type="spellStart"/>
      <w:r>
        <w:rPr>
          <w:rFonts w:ascii="Arial" w:hAnsi="Arial" w:cs="Arial"/>
          <w:sz w:val="16"/>
          <w:szCs w:val="16"/>
        </w:rPr>
        <w:t>brownfield</w:t>
      </w:r>
      <w:r w:rsidR="00C607A2">
        <w:rPr>
          <w:rFonts w:ascii="Arial" w:hAnsi="Arial" w:cs="Arial"/>
          <w:sz w:val="16"/>
          <w:szCs w:val="16"/>
        </w:rPr>
        <w:t>y</w:t>
      </w:r>
      <w:proofErr w:type="spellEnd"/>
      <w:r>
        <w:rPr>
          <w:rFonts w:ascii="Arial" w:hAnsi="Arial" w:cs="Arial"/>
          <w:sz w:val="16"/>
          <w:szCs w:val="16"/>
        </w:rPr>
        <w:t xml:space="preserve"> v Praze pro výstavbu nových bytů a domů.   </w:t>
      </w:r>
    </w:p>
    <w:sectPr w:rsidR="00101297" w:rsidRPr="00136B59" w:rsidSect="00EB64B6">
      <w:headerReference w:type="default" r:id="rId14"/>
      <w:pgSz w:w="11906" w:h="16838"/>
      <w:pgMar w:top="26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B75" w:rsidRDefault="001F3B75" w:rsidP="00655B14">
      <w:pPr>
        <w:spacing w:after="0" w:line="240" w:lineRule="auto"/>
      </w:pPr>
      <w:r>
        <w:separator/>
      </w:r>
    </w:p>
  </w:endnote>
  <w:endnote w:type="continuationSeparator" w:id="0">
    <w:p w:rsidR="001F3B75" w:rsidRDefault="001F3B75" w:rsidP="00655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B75" w:rsidRDefault="001F3B75" w:rsidP="00655B14">
      <w:pPr>
        <w:spacing w:after="0" w:line="240" w:lineRule="auto"/>
      </w:pPr>
      <w:r>
        <w:separator/>
      </w:r>
    </w:p>
  </w:footnote>
  <w:footnote w:type="continuationSeparator" w:id="0">
    <w:p w:rsidR="001F3B75" w:rsidRDefault="001F3B75" w:rsidP="00655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B14" w:rsidRPr="00D763B7" w:rsidRDefault="00655B14" w:rsidP="00655B14">
    <w:pPr>
      <w:pStyle w:val="nadpis"/>
      <w:spacing w:line="276" w:lineRule="auto"/>
      <w:rPr>
        <w:color w:val="17365D"/>
        <w:sz w:val="30"/>
        <w:szCs w:val="30"/>
      </w:rPr>
    </w:pPr>
    <w:r>
      <w:rPr>
        <w:noProof/>
        <w:sz w:val="30"/>
        <w:szCs w:val="30"/>
        <w:lang w:eastAsia="cs-CZ"/>
      </w:rPr>
      <mc:AlternateContent>
        <mc:Choice Requires="wps">
          <w:drawing>
            <wp:anchor distT="4294967291" distB="4294967291" distL="114300" distR="114300" simplePos="0" relativeHeight="251657216" behindDoc="0" locked="0" layoutInCell="1" allowOverlap="1" wp14:anchorId="173157AA" wp14:editId="5AFCD9EA">
              <wp:simplePos x="0" y="0"/>
              <wp:positionH relativeFrom="column">
                <wp:posOffset>-635</wp:posOffset>
              </wp:positionH>
              <wp:positionV relativeFrom="paragraph">
                <wp:posOffset>292099</wp:posOffset>
              </wp:positionV>
              <wp:extent cx="4547870" cy="0"/>
              <wp:effectExtent l="0" t="0" r="24130" b="19050"/>
              <wp:wrapNone/>
              <wp:docPr id="1" name="Přímá spojnice se šipko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478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CEC42E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1" o:spid="_x0000_s1026" type="#_x0000_t32" style="position:absolute;margin-left:-.05pt;margin-top:23pt;width:358.1pt;height:0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"/>
          </w:pict>
        </mc:Fallback>
      </mc:AlternateContent>
    </w:r>
    <w:r w:rsidRPr="00D763B7">
      <w:rPr>
        <w:rFonts w:ascii="Arial" w:hAnsi="Arial" w:cs="Arial"/>
        <w:b/>
        <w:noProof/>
        <w:sz w:val="30"/>
        <w:szCs w:val="30"/>
        <w:lang w:eastAsia="cs-CZ"/>
      </w:rPr>
      <w:drawing>
        <wp:anchor distT="0" distB="0" distL="114300" distR="114300" simplePos="0" relativeHeight="251663360" behindDoc="1" locked="0" layoutInCell="1" allowOverlap="1" wp14:anchorId="3140D8F3" wp14:editId="1FCFAE2F">
          <wp:simplePos x="0" y="0"/>
          <wp:positionH relativeFrom="margin">
            <wp:align>right</wp:align>
          </wp:positionH>
          <wp:positionV relativeFrom="paragraph">
            <wp:posOffset>-300990</wp:posOffset>
          </wp:positionV>
          <wp:extent cx="1458595" cy="1398270"/>
          <wp:effectExtent l="0" t="0" r="8255" b="0"/>
          <wp:wrapNone/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8595" cy="1398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color w:val="17365D"/>
        <w:sz w:val="30"/>
        <w:szCs w:val="30"/>
      </w:rPr>
      <w:t>TISKOVÁ ZPRÁVA</w:t>
    </w:r>
    <w:r w:rsidRPr="00D763B7">
      <w:rPr>
        <w:color w:val="17365D"/>
        <w:sz w:val="30"/>
        <w:szCs w:val="30"/>
      </w:rPr>
      <w:tab/>
    </w:r>
  </w:p>
  <w:p w:rsidR="00655B14" w:rsidRPr="00D763B7" w:rsidRDefault="00633318" w:rsidP="00655B14">
    <w:pPr>
      <w:pStyle w:val="nadpis"/>
      <w:spacing w:line="276" w:lineRule="auto"/>
      <w:rPr>
        <w:color w:val="17365D"/>
        <w:sz w:val="30"/>
        <w:szCs w:val="30"/>
      </w:rPr>
    </w:pPr>
    <w:proofErr w:type="gramStart"/>
    <w:r>
      <w:rPr>
        <w:color w:val="17365D"/>
        <w:sz w:val="30"/>
        <w:szCs w:val="30"/>
      </w:rPr>
      <w:t>1.9</w:t>
    </w:r>
    <w:r w:rsidR="00655B14">
      <w:rPr>
        <w:color w:val="17365D"/>
        <w:sz w:val="30"/>
        <w:szCs w:val="30"/>
      </w:rPr>
      <w:t>.2015</w:t>
    </w:r>
    <w:proofErr w:type="gramEnd"/>
  </w:p>
  <w:p w:rsidR="00655B14" w:rsidRPr="00E25B7E" w:rsidRDefault="00655B14" w:rsidP="00655B14">
    <w:pPr>
      <w:spacing w:after="0"/>
      <w:rPr>
        <w:rFonts w:ascii="Arial Black" w:hAnsi="Arial Black" w:cs="Arial"/>
        <w:b/>
        <w:sz w:val="28"/>
        <w:szCs w:val="28"/>
      </w:rPr>
    </w:pPr>
  </w:p>
  <w:p w:rsidR="00655B14" w:rsidRDefault="00655B1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46EA3"/>
    <w:multiLevelType w:val="hybridMultilevel"/>
    <w:tmpl w:val="2A404E64"/>
    <w:lvl w:ilvl="0" w:tplc="C5BA163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060454"/>
    <w:multiLevelType w:val="hybridMultilevel"/>
    <w:tmpl w:val="D64016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B56"/>
    <w:rsid w:val="0000345B"/>
    <w:rsid w:val="0000781F"/>
    <w:rsid w:val="00024764"/>
    <w:rsid w:val="000267C4"/>
    <w:rsid w:val="0002687F"/>
    <w:rsid w:val="0003162C"/>
    <w:rsid w:val="000336D2"/>
    <w:rsid w:val="00034F4A"/>
    <w:rsid w:val="00036B56"/>
    <w:rsid w:val="00042A08"/>
    <w:rsid w:val="000449DD"/>
    <w:rsid w:val="00047F3F"/>
    <w:rsid w:val="00051163"/>
    <w:rsid w:val="000512A9"/>
    <w:rsid w:val="00057673"/>
    <w:rsid w:val="000702CA"/>
    <w:rsid w:val="0007119F"/>
    <w:rsid w:val="0007250E"/>
    <w:rsid w:val="00075196"/>
    <w:rsid w:val="00075EC3"/>
    <w:rsid w:val="000778E1"/>
    <w:rsid w:val="00083BA8"/>
    <w:rsid w:val="0008492F"/>
    <w:rsid w:val="0008540C"/>
    <w:rsid w:val="00085F81"/>
    <w:rsid w:val="000865A5"/>
    <w:rsid w:val="00091E8A"/>
    <w:rsid w:val="000A0381"/>
    <w:rsid w:val="000A2C12"/>
    <w:rsid w:val="000A555C"/>
    <w:rsid w:val="000B1F3B"/>
    <w:rsid w:val="000C111A"/>
    <w:rsid w:val="000C1853"/>
    <w:rsid w:val="000C61A9"/>
    <w:rsid w:val="000D0B58"/>
    <w:rsid w:val="000D2CE8"/>
    <w:rsid w:val="000D6F5E"/>
    <w:rsid w:val="000D7AAD"/>
    <w:rsid w:val="000F76D9"/>
    <w:rsid w:val="00134324"/>
    <w:rsid w:val="00136B59"/>
    <w:rsid w:val="00136DD9"/>
    <w:rsid w:val="001374C1"/>
    <w:rsid w:val="0014189D"/>
    <w:rsid w:val="00147D32"/>
    <w:rsid w:val="0015386E"/>
    <w:rsid w:val="00154E05"/>
    <w:rsid w:val="00160996"/>
    <w:rsid w:val="00167091"/>
    <w:rsid w:val="00167393"/>
    <w:rsid w:val="00167EA3"/>
    <w:rsid w:val="00175BC6"/>
    <w:rsid w:val="00176DB2"/>
    <w:rsid w:val="00181963"/>
    <w:rsid w:val="00182A74"/>
    <w:rsid w:val="00182F69"/>
    <w:rsid w:val="001837BC"/>
    <w:rsid w:val="001839E1"/>
    <w:rsid w:val="00184AA4"/>
    <w:rsid w:val="001947DA"/>
    <w:rsid w:val="001975BF"/>
    <w:rsid w:val="001A0918"/>
    <w:rsid w:val="001A0E14"/>
    <w:rsid w:val="001A60F5"/>
    <w:rsid w:val="001A6619"/>
    <w:rsid w:val="001B7101"/>
    <w:rsid w:val="001B7358"/>
    <w:rsid w:val="001C66CF"/>
    <w:rsid w:val="001C6D66"/>
    <w:rsid w:val="001D7759"/>
    <w:rsid w:val="001E1516"/>
    <w:rsid w:val="001E15A7"/>
    <w:rsid w:val="001E1A62"/>
    <w:rsid w:val="001E5C33"/>
    <w:rsid w:val="001F0C11"/>
    <w:rsid w:val="001F3B75"/>
    <w:rsid w:val="001F5AAF"/>
    <w:rsid w:val="001F5F25"/>
    <w:rsid w:val="001F75D0"/>
    <w:rsid w:val="002024C8"/>
    <w:rsid w:val="002039FC"/>
    <w:rsid w:val="0021271C"/>
    <w:rsid w:val="00214B9A"/>
    <w:rsid w:val="0022029B"/>
    <w:rsid w:val="00234852"/>
    <w:rsid w:val="002442D9"/>
    <w:rsid w:val="00244FB9"/>
    <w:rsid w:val="00253B9A"/>
    <w:rsid w:val="00255584"/>
    <w:rsid w:val="00261752"/>
    <w:rsid w:val="00265E94"/>
    <w:rsid w:val="002769EC"/>
    <w:rsid w:val="002802F5"/>
    <w:rsid w:val="00282554"/>
    <w:rsid w:val="00283463"/>
    <w:rsid w:val="002A09C6"/>
    <w:rsid w:val="002A1D9E"/>
    <w:rsid w:val="002A355F"/>
    <w:rsid w:val="002A5494"/>
    <w:rsid w:val="002B22EC"/>
    <w:rsid w:val="002B2E77"/>
    <w:rsid w:val="002B34A2"/>
    <w:rsid w:val="002C100F"/>
    <w:rsid w:val="002C53C3"/>
    <w:rsid w:val="002C5688"/>
    <w:rsid w:val="002D082D"/>
    <w:rsid w:val="002E04AA"/>
    <w:rsid w:val="002E128D"/>
    <w:rsid w:val="002E7D8B"/>
    <w:rsid w:val="002F02F6"/>
    <w:rsid w:val="002F3BBF"/>
    <w:rsid w:val="002F3C78"/>
    <w:rsid w:val="002F696E"/>
    <w:rsid w:val="00310056"/>
    <w:rsid w:val="003115D8"/>
    <w:rsid w:val="0031568A"/>
    <w:rsid w:val="00316A88"/>
    <w:rsid w:val="00320B75"/>
    <w:rsid w:val="00333809"/>
    <w:rsid w:val="00344915"/>
    <w:rsid w:val="00354906"/>
    <w:rsid w:val="00364E18"/>
    <w:rsid w:val="0036643F"/>
    <w:rsid w:val="0036769C"/>
    <w:rsid w:val="00377C0F"/>
    <w:rsid w:val="00380E96"/>
    <w:rsid w:val="0038164F"/>
    <w:rsid w:val="00390D9B"/>
    <w:rsid w:val="003973E3"/>
    <w:rsid w:val="003975FB"/>
    <w:rsid w:val="003A4846"/>
    <w:rsid w:val="003A4E1B"/>
    <w:rsid w:val="003A74FB"/>
    <w:rsid w:val="003B0B39"/>
    <w:rsid w:val="003B20BE"/>
    <w:rsid w:val="003B2626"/>
    <w:rsid w:val="003B669D"/>
    <w:rsid w:val="003C4264"/>
    <w:rsid w:val="003E1A52"/>
    <w:rsid w:val="003E25B5"/>
    <w:rsid w:val="003E3DDE"/>
    <w:rsid w:val="003E3EEE"/>
    <w:rsid w:val="003E4FDA"/>
    <w:rsid w:val="003F4A3F"/>
    <w:rsid w:val="00404AE7"/>
    <w:rsid w:val="004065D6"/>
    <w:rsid w:val="00407D1B"/>
    <w:rsid w:val="0041092C"/>
    <w:rsid w:val="00411ECF"/>
    <w:rsid w:val="00415AF5"/>
    <w:rsid w:val="00416096"/>
    <w:rsid w:val="0042143D"/>
    <w:rsid w:val="00423B06"/>
    <w:rsid w:val="00425B70"/>
    <w:rsid w:val="004267CA"/>
    <w:rsid w:val="004269C0"/>
    <w:rsid w:val="0043290F"/>
    <w:rsid w:val="00457B53"/>
    <w:rsid w:val="004669A9"/>
    <w:rsid w:val="00470BAB"/>
    <w:rsid w:val="00474F5D"/>
    <w:rsid w:val="00487B16"/>
    <w:rsid w:val="00490A3A"/>
    <w:rsid w:val="00490FEF"/>
    <w:rsid w:val="00491B22"/>
    <w:rsid w:val="00494878"/>
    <w:rsid w:val="004952C9"/>
    <w:rsid w:val="0049638C"/>
    <w:rsid w:val="00496B6A"/>
    <w:rsid w:val="004B31B4"/>
    <w:rsid w:val="004B7B91"/>
    <w:rsid w:val="004C0A81"/>
    <w:rsid w:val="004C68D5"/>
    <w:rsid w:val="004D14BF"/>
    <w:rsid w:val="004D230C"/>
    <w:rsid w:val="004D3EFE"/>
    <w:rsid w:val="004D718C"/>
    <w:rsid w:val="004E48FD"/>
    <w:rsid w:val="004E53EE"/>
    <w:rsid w:val="004F4589"/>
    <w:rsid w:val="0050068F"/>
    <w:rsid w:val="005063E2"/>
    <w:rsid w:val="00516528"/>
    <w:rsid w:val="005207A4"/>
    <w:rsid w:val="00525388"/>
    <w:rsid w:val="00525770"/>
    <w:rsid w:val="00526B27"/>
    <w:rsid w:val="00534219"/>
    <w:rsid w:val="00536342"/>
    <w:rsid w:val="005405D8"/>
    <w:rsid w:val="00542901"/>
    <w:rsid w:val="00543480"/>
    <w:rsid w:val="00543E13"/>
    <w:rsid w:val="00563B73"/>
    <w:rsid w:val="00564E82"/>
    <w:rsid w:val="00567B05"/>
    <w:rsid w:val="00573A57"/>
    <w:rsid w:val="00574AB5"/>
    <w:rsid w:val="00575350"/>
    <w:rsid w:val="00575AC0"/>
    <w:rsid w:val="00575DE9"/>
    <w:rsid w:val="00582D61"/>
    <w:rsid w:val="005A0735"/>
    <w:rsid w:val="005A1046"/>
    <w:rsid w:val="005A33B1"/>
    <w:rsid w:val="005A6A33"/>
    <w:rsid w:val="005B681C"/>
    <w:rsid w:val="005C710A"/>
    <w:rsid w:val="005E2124"/>
    <w:rsid w:val="005F5002"/>
    <w:rsid w:val="005F730C"/>
    <w:rsid w:val="00605851"/>
    <w:rsid w:val="00605F5F"/>
    <w:rsid w:val="006113F4"/>
    <w:rsid w:val="00612999"/>
    <w:rsid w:val="00612D3F"/>
    <w:rsid w:val="00612F63"/>
    <w:rsid w:val="00613CA5"/>
    <w:rsid w:val="00613DF6"/>
    <w:rsid w:val="00613E4C"/>
    <w:rsid w:val="006148ED"/>
    <w:rsid w:val="00615AC2"/>
    <w:rsid w:val="00621B9E"/>
    <w:rsid w:val="0062361C"/>
    <w:rsid w:val="00623B37"/>
    <w:rsid w:val="00624443"/>
    <w:rsid w:val="006278BF"/>
    <w:rsid w:val="0063062D"/>
    <w:rsid w:val="006331B3"/>
    <w:rsid w:val="00633318"/>
    <w:rsid w:val="006362FC"/>
    <w:rsid w:val="006474BF"/>
    <w:rsid w:val="00651991"/>
    <w:rsid w:val="00654F88"/>
    <w:rsid w:val="00655B14"/>
    <w:rsid w:val="00661906"/>
    <w:rsid w:val="00663DF4"/>
    <w:rsid w:val="006650D5"/>
    <w:rsid w:val="00670D2D"/>
    <w:rsid w:val="006832C4"/>
    <w:rsid w:val="00686D43"/>
    <w:rsid w:val="006927C2"/>
    <w:rsid w:val="006934FA"/>
    <w:rsid w:val="006A0D19"/>
    <w:rsid w:val="006A2453"/>
    <w:rsid w:val="006A447A"/>
    <w:rsid w:val="006A5D80"/>
    <w:rsid w:val="006B1D92"/>
    <w:rsid w:val="006B3A10"/>
    <w:rsid w:val="006B4962"/>
    <w:rsid w:val="006B5D5E"/>
    <w:rsid w:val="006C2B65"/>
    <w:rsid w:val="006C4C61"/>
    <w:rsid w:val="006C522D"/>
    <w:rsid w:val="006C6EA1"/>
    <w:rsid w:val="006D0799"/>
    <w:rsid w:val="006D0F03"/>
    <w:rsid w:val="006D3EB8"/>
    <w:rsid w:val="006D42D0"/>
    <w:rsid w:val="006D4ABB"/>
    <w:rsid w:val="006E3D61"/>
    <w:rsid w:val="006E6B4E"/>
    <w:rsid w:val="006E7A97"/>
    <w:rsid w:val="006F1257"/>
    <w:rsid w:val="00700072"/>
    <w:rsid w:val="007012BA"/>
    <w:rsid w:val="00702863"/>
    <w:rsid w:val="00705B5F"/>
    <w:rsid w:val="00705BC3"/>
    <w:rsid w:val="00705DA4"/>
    <w:rsid w:val="00707522"/>
    <w:rsid w:val="00710A01"/>
    <w:rsid w:val="00712980"/>
    <w:rsid w:val="00713ABB"/>
    <w:rsid w:val="00713F01"/>
    <w:rsid w:val="0071453E"/>
    <w:rsid w:val="00716A16"/>
    <w:rsid w:val="007173A6"/>
    <w:rsid w:val="007235A6"/>
    <w:rsid w:val="0072485F"/>
    <w:rsid w:val="0073295D"/>
    <w:rsid w:val="00740D42"/>
    <w:rsid w:val="007463F6"/>
    <w:rsid w:val="00751B24"/>
    <w:rsid w:val="00755EC0"/>
    <w:rsid w:val="0076032C"/>
    <w:rsid w:val="00761239"/>
    <w:rsid w:val="00762126"/>
    <w:rsid w:val="00766721"/>
    <w:rsid w:val="007832C3"/>
    <w:rsid w:val="0078361B"/>
    <w:rsid w:val="007842B4"/>
    <w:rsid w:val="007871D4"/>
    <w:rsid w:val="00787594"/>
    <w:rsid w:val="00790072"/>
    <w:rsid w:val="00796713"/>
    <w:rsid w:val="00796CBD"/>
    <w:rsid w:val="007A4A06"/>
    <w:rsid w:val="007A53B0"/>
    <w:rsid w:val="007B31F2"/>
    <w:rsid w:val="007B3DA8"/>
    <w:rsid w:val="007B4B08"/>
    <w:rsid w:val="007B53F9"/>
    <w:rsid w:val="007B6D27"/>
    <w:rsid w:val="007C2B1D"/>
    <w:rsid w:val="007C45B0"/>
    <w:rsid w:val="007C5FFD"/>
    <w:rsid w:val="007C6D19"/>
    <w:rsid w:val="007D1A76"/>
    <w:rsid w:val="007D62ED"/>
    <w:rsid w:val="007E0D15"/>
    <w:rsid w:val="007F0C40"/>
    <w:rsid w:val="007F66CD"/>
    <w:rsid w:val="00800E1E"/>
    <w:rsid w:val="00807C6F"/>
    <w:rsid w:val="0081074D"/>
    <w:rsid w:val="008108E8"/>
    <w:rsid w:val="0081291B"/>
    <w:rsid w:val="00812DF8"/>
    <w:rsid w:val="00814415"/>
    <w:rsid w:val="00814765"/>
    <w:rsid w:val="008204B5"/>
    <w:rsid w:val="00820F2C"/>
    <w:rsid w:val="0082549D"/>
    <w:rsid w:val="008303E4"/>
    <w:rsid w:val="0084640E"/>
    <w:rsid w:val="00847DB4"/>
    <w:rsid w:val="00852746"/>
    <w:rsid w:val="00855913"/>
    <w:rsid w:val="00857E38"/>
    <w:rsid w:val="00862EFD"/>
    <w:rsid w:val="008722DF"/>
    <w:rsid w:val="00873AC5"/>
    <w:rsid w:val="008774E5"/>
    <w:rsid w:val="008824CF"/>
    <w:rsid w:val="008872BA"/>
    <w:rsid w:val="00890210"/>
    <w:rsid w:val="00894763"/>
    <w:rsid w:val="008949FC"/>
    <w:rsid w:val="008A1E00"/>
    <w:rsid w:val="008A4FF8"/>
    <w:rsid w:val="008B3EE2"/>
    <w:rsid w:val="008B7191"/>
    <w:rsid w:val="008C749F"/>
    <w:rsid w:val="008D19FA"/>
    <w:rsid w:val="008D3BCA"/>
    <w:rsid w:val="008D48D6"/>
    <w:rsid w:val="008D59B4"/>
    <w:rsid w:val="008E028E"/>
    <w:rsid w:val="008E2D03"/>
    <w:rsid w:val="008E6142"/>
    <w:rsid w:val="008E7BEB"/>
    <w:rsid w:val="008F5122"/>
    <w:rsid w:val="008F6F10"/>
    <w:rsid w:val="008F6F96"/>
    <w:rsid w:val="0090581E"/>
    <w:rsid w:val="0090691F"/>
    <w:rsid w:val="00910082"/>
    <w:rsid w:val="00911F87"/>
    <w:rsid w:val="00913C66"/>
    <w:rsid w:val="0091594A"/>
    <w:rsid w:val="009220BB"/>
    <w:rsid w:val="009221E5"/>
    <w:rsid w:val="00924562"/>
    <w:rsid w:val="0092496C"/>
    <w:rsid w:val="009271B7"/>
    <w:rsid w:val="0093017D"/>
    <w:rsid w:val="009334FD"/>
    <w:rsid w:val="00934DF2"/>
    <w:rsid w:val="00937B27"/>
    <w:rsid w:val="0094452B"/>
    <w:rsid w:val="0094738D"/>
    <w:rsid w:val="00947B21"/>
    <w:rsid w:val="00951E2C"/>
    <w:rsid w:val="00955050"/>
    <w:rsid w:val="00961E63"/>
    <w:rsid w:val="00966597"/>
    <w:rsid w:val="00967406"/>
    <w:rsid w:val="00974F08"/>
    <w:rsid w:val="00980CE7"/>
    <w:rsid w:val="00983964"/>
    <w:rsid w:val="00987340"/>
    <w:rsid w:val="009A6C2C"/>
    <w:rsid w:val="009B059D"/>
    <w:rsid w:val="009B2866"/>
    <w:rsid w:val="009C1B56"/>
    <w:rsid w:val="009C2B16"/>
    <w:rsid w:val="009C59D8"/>
    <w:rsid w:val="009C5FFA"/>
    <w:rsid w:val="009D1179"/>
    <w:rsid w:val="009D288E"/>
    <w:rsid w:val="009D40BE"/>
    <w:rsid w:val="009D64BB"/>
    <w:rsid w:val="009D7C5B"/>
    <w:rsid w:val="009E60FC"/>
    <w:rsid w:val="009F09FC"/>
    <w:rsid w:val="009F1CF0"/>
    <w:rsid w:val="009F60C1"/>
    <w:rsid w:val="00A00BBB"/>
    <w:rsid w:val="00A01A93"/>
    <w:rsid w:val="00A148D8"/>
    <w:rsid w:val="00A4200A"/>
    <w:rsid w:val="00A546ED"/>
    <w:rsid w:val="00A60931"/>
    <w:rsid w:val="00A61374"/>
    <w:rsid w:val="00A619DE"/>
    <w:rsid w:val="00A62428"/>
    <w:rsid w:val="00A66AAD"/>
    <w:rsid w:val="00A712EF"/>
    <w:rsid w:val="00A73ED7"/>
    <w:rsid w:val="00A742F4"/>
    <w:rsid w:val="00A75761"/>
    <w:rsid w:val="00A81BE1"/>
    <w:rsid w:val="00A829ED"/>
    <w:rsid w:val="00AA0FAC"/>
    <w:rsid w:val="00AB1126"/>
    <w:rsid w:val="00AB1FC1"/>
    <w:rsid w:val="00AB25F5"/>
    <w:rsid w:val="00AC17FA"/>
    <w:rsid w:val="00AD38CE"/>
    <w:rsid w:val="00AD3ACF"/>
    <w:rsid w:val="00AE045A"/>
    <w:rsid w:val="00AE1FD2"/>
    <w:rsid w:val="00AE2D7A"/>
    <w:rsid w:val="00AE42EC"/>
    <w:rsid w:val="00AE4F7C"/>
    <w:rsid w:val="00AE539F"/>
    <w:rsid w:val="00AF2495"/>
    <w:rsid w:val="00AF2749"/>
    <w:rsid w:val="00AF7E13"/>
    <w:rsid w:val="00B00ADD"/>
    <w:rsid w:val="00B00B91"/>
    <w:rsid w:val="00B07754"/>
    <w:rsid w:val="00B1425A"/>
    <w:rsid w:val="00B15BD1"/>
    <w:rsid w:val="00B21B82"/>
    <w:rsid w:val="00B222EB"/>
    <w:rsid w:val="00B238D8"/>
    <w:rsid w:val="00B25DBE"/>
    <w:rsid w:val="00B27B22"/>
    <w:rsid w:val="00B27D90"/>
    <w:rsid w:val="00B3135D"/>
    <w:rsid w:val="00B41391"/>
    <w:rsid w:val="00B4172D"/>
    <w:rsid w:val="00B538CF"/>
    <w:rsid w:val="00B60727"/>
    <w:rsid w:val="00B619C7"/>
    <w:rsid w:val="00B67D94"/>
    <w:rsid w:val="00B7066A"/>
    <w:rsid w:val="00B71542"/>
    <w:rsid w:val="00B75BE8"/>
    <w:rsid w:val="00B824C4"/>
    <w:rsid w:val="00B85D8C"/>
    <w:rsid w:val="00B947A5"/>
    <w:rsid w:val="00B97F83"/>
    <w:rsid w:val="00BA2020"/>
    <w:rsid w:val="00BA2DDE"/>
    <w:rsid w:val="00BA3F4B"/>
    <w:rsid w:val="00BA67E9"/>
    <w:rsid w:val="00BB05A4"/>
    <w:rsid w:val="00BB3311"/>
    <w:rsid w:val="00BB4211"/>
    <w:rsid w:val="00BB55B5"/>
    <w:rsid w:val="00BB7952"/>
    <w:rsid w:val="00BB7E91"/>
    <w:rsid w:val="00BC0DAD"/>
    <w:rsid w:val="00BC1FBC"/>
    <w:rsid w:val="00BC548E"/>
    <w:rsid w:val="00BE0CE4"/>
    <w:rsid w:val="00BE3A45"/>
    <w:rsid w:val="00BE4E6E"/>
    <w:rsid w:val="00BF14CC"/>
    <w:rsid w:val="00BF658E"/>
    <w:rsid w:val="00BF6972"/>
    <w:rsid w:val="00C1171C"/>
    <w:rsid w:val="00C21837"/>
    <w:rsid w:val="00C311B7"/>
    <w:rsid w:val="00C3154B"/>
    <w:rsid w:val="00C3267B"/>
    <w:rsid w:val="00C3325A"/>
    <w:rsid w:val="00C50EB7"/>
    <w:rsid w:val="00C51093"/>
    <w:rsid w:val="00C5699A"/>
    <w:rsid w:val="00C6039E"/>
    <w:rsid w:val="00C607A2"/>
    <w:rsid w:val="00C60C8C"/>
    <w:rsid w:val="00C621FC"/>
    <w:rsid w:val="00C67AEB"/>
    <w:rsid w:val="00C70EE1"/>
    <w:rsid w:val="00C802DC"/>
    <w:rsid w:val="00C80C4D"/>
    <w:rsid w:val="00C812FA"/>
    <w:rsid w:val="00C828CD"/>
    <w:rsid w:val="00C87246"/>
    <w:rsid w:val="00C948E3"/>
    <w:rsid w:val="00C964AD"/>
    <w:rsid w:val="00C97FF5"/>
    <w:rsid w:val="00CA489A"/>
    <w:rsid w:val="00CA4B80"/>
    <w:rsid w:val="00CA6D83"/>
    <w:rsid w:val="00CC0429"/>
    <w:rsid w:val="00CC5301"/>
    <w:rsid w:val="00CD1466"/>
    <w:rsid w:val="00CD1F47"/>
    <w:rsid w:val="00CD26E1"/>
    <w:rsid w:val="00CD42C6"/>
    <w:rsid w:val="00CD4FA8"/>
    <w:rsid w:val="00CD6B89"/>
    <w:rsid w:val="00CE26CB"/>
    <w:rsid w:val="00CE2CDA"/>
    <w:rsid w:val="00CF181B"/>
    <w:rsid w:val="00CF27B2"/>
    <w:rsid w:val="00CF65A3"/>
    <w:rsid w:val="00D00528"/>
    <w:rsid w:val="00D05C00"/>
    <w:rsid w:val="00D175CF"/>
    <w:rsid w:val="00D2266B"/>
    <w:rsid w:val="00D24422"/>
    <w:rsid w:val="00D302F0"/>
    <w:rsid w:val="00D3268D"/>
    <w:rsid w:val="00D330F4"/>
    <w:rsid w:val="00D43126"/>
    <w:rsid w:val="00D435EE"/>
    <w:rsid w:val="00D45D3D"/>
    <w:rsid w:val="00D46859"/>
    <w:rsid w:val="00D57F07"/>
    <w:rsid w:val="00D63698"/>
    <w:rsid w:val="00D64B06"/>
    <w:rsid w:val="00D64C48"/>
    <w:rsid w:val="00D6582D"/>
    <w:rsid w:val="00D763B7"/>
    <w:rsid w:val="00D77055"/>
    <w:rsid w:val="00D77345"/>
    <w:rsid w:val="00D8202F"/>
    <w:rsid w:val="00D91FF4"/>
    <w:rsid w:val="00D92EE4"/>
    <w:rsid w:val="00D93E34"/>
    <w:rsid w:val="00D94DC9"/>
    <w:rsid w:val="00DA1B87"/>
    <w:rsid w:val="00DA730B"/>
    <w:rsid w:val="00DA7B16"/>
    <w:rsid w:val="00DA7C25"/>
    <w:rsid w:val="00DB0093"/>
    <w:rsid w:val="00DB1D60"/>
    <w:rsid w:val="00DB449E"/>
    <w:rsid w:val="00DB4521"/>
    <w:rsid w:val="00DB7D7C"/>
    <w:rsid w:val="00DC0373"/>
    <w:rsid w:val="00DC192A"/>
    <w:rsid w:val="00DC6811"/>
    <w:rsid w:val="00DD2953"/>
    <w:rsid w:val="00DD3271"/>
    <w:rsid w:val="00DE0DEB"/>
    <w:rsid w:val="00DE4114"/>
    <w:rsid w:val="00DE60AE"/>
    <w:rsid w:val="00DE63CF"/>
    <w:rsid w:val="00DE7F8E"/>
    <w:rsid w:val="00DF0757"/>
    <w:rsid w:val="00DF09F9"/>
    <w:rsid w:val="00DF157C"/>
    <w:rsid w:val="00DF4E13"/>
    <w:rsid w:val="00DF77B2"/>
    <w:rsid w:val="00E033EE"/>
    <w:rsid w:val="00E03EA9"/>
    <w:rsid w:val="00E070FB"/>
    <w:rsid w:val="00E10CF1"/>
    <w:rsid w:val="00E13370"/>
    <w:rsid w:val="00E16198"/>
    <w:rsid w:val="00E17B10"/>
    <w:rsid w:val="00E2132E"/>
    <w:rsid w:val="00E21574"/>
    <w:rsid w:val="00E25B7E"/>
    <w:rsid w:val="00E25CD7"/>
    <w:rsid w:val="00E26B83"/>
    <w:rsid w:val="00E26E22"/>
    <w:rsid w:val="00E27521"/>
    <w:rsid w:val="00E27A8B"/>
    <w:rsid w:val="00E34CB2"/>
    <w:rsid w:val="00E36217"/>
    <w:rsid w:val="00E442D7"/>
    <w:rsid w:val="00E444F3"/>
    <w:rsid w:val="00E51C0E"/>
    <w:rsid w:val="00E652A9"/>
    <w:rsid w:val="00E672CE"/>
    <w:rsid w:val="00E6746A"/>
    <w:rsid w:val="00E741CF"/>
    <w:rsid w:val="00E830CF"/>
    <w:rsid w:val="00E875C9"/>
    <w:rsid w:val="00E97083"/>
    <w:rsid w:val="00EA5CEE"/>
    <w:rsid w:val="00EA79D5"/>
    <w:rsid w:val="00EB00C7"/>
    <w:rsid w:val="00EB2BBE"/>
    <w:rsid w:val="00EB565C"/>
    <w:rsid w:val="00EB64B6"/>
    <w:rsid w:val="00EB7273"/>
    <w:rsid w:val="00ED1CF5"/>
    <w:rsid w:val="00ED31C9"/>
    <w:rsid w:val="00ED53B6"/>
    <w:rsid w:val="00ED686A"/>
    <w:rsid w:val="00EE04D0"/>
    <w:rsid w:val="00EE0A47"/>
    <w:rsid w:val="00EE4211"/>
    <w:rsid w:val="00EE7AEF"/>
    <w:rsid w:val="00EF38DD"/>
    <w:rsid w:val="00EF7ED8"/>
    <w:rsid w:val="00F028BE"/>
    <w:rsid w:val="00F0586A"/>
    <w:rsid w:val="00F063E9"/>
    <w:rsid w:val="00F15BF5"/>
    <w:rsid w:val="00F15C7B"/>
    <w:rsid w:val="00F254AD"/>
    <w:rsid w:val="00F265AB"/>
    <w:rsid w:val="00F31011"/>
    <w:rsid w:val="00F33B8F"/>
    <w:rsid w:val="00F36A4D"/>
    <w:rsid w:val="00F40767"/>
    <w:rsid w:val="00F64DA9"/>
    <w:rsid w:val="00F66BB9"/>
    <w:rsid w:val="00F71634"/>
    <w:rsid w:val="00F80AF7"/>
    <w:rsid w:val="00F82D52"/>
    <w:rsid w:val="00F83112"/>
    <w:rsid w:val="00F86F64"/>
    <w:rsid w:val="00F91226"/>
    <w:rsid w:val="00F92C0A"/>
    <w:rsid w:val="00FA0394"/>
    <w:rsid w:val="00FB1070"/>
    <w:rsid w:val="00FB27DA"/>
    <w:rsid w:val="00FB3096"/>
    <w:rsid w:val="00FC3BB1"/>
    <w:rsid w:val="00FD23C2"/>
    <w:rsid w:val="00FD40F0"/>
    <w:rsid w:val="00FD52E9"/>
    <w:rsid w:val="00FD6FDD"/>
    <w:rsid w:val="00FD7ED7"/>
    <w:rsid w:val="00FE5EF3"/>
    <w:rsid w:val="00FF22D6"/>
    <w:rsid w:val="00FF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C88A84-07A9-46F6-B44D-EC0C6F0B7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6B5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uiPriority w:val="99"/>
    <w:rsid w:val="00036B56"/>
    <w:pPr>
      <w:autoSpaceDE w:val="0"/>
      <w:autoSpaceDN w:val="0"/>
      <w:adjustRightInd w:val="0"/>
      <w:spacing w:after="0" w:line="560" w:lineRule="atLeast"/>
      <w:textAlignment w:val="center"/>
    </w:pPr>
    <w:rPr>
      <w:rFonts w:ascii="Arial Black" w:hAnsi="Arial Black" w:cs="Arial Black"/>
      <w:color w:val="000000"/>
      <w:sz w:val="46"/>
      <w:szCs w:val="46"/>
    </w:rPr>
  </w:style>
  <w:style w:type="character" w:styleId="Odkaznakoment">
    <w:name w:val="annotation reference"/>
    <w:uiPriority w:val="99"/>
    <w:semiHidden/>
    <w:unhideWhenUsed/>
    <w:rsid w:val="00036B56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6B5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6B56"/>
    <w:rPr>
      <w:rFonts w:ascii="Calibri" w:eastAsia="Times New Roman" w:hAnsi="Calibri" w:cs="Times New Roman"/>
      <w:sz w:val="20"/>
      <w:szCs w:val="20"/>
    </w:rPr>
  </w:style>
  <w:style w:type="character" w:styleId="Hypertextovodkaz">
    <w:name w:val="Hyperlink"/>
    <w:uiPriority w:val="99"/>
    <w:unhideWhenUsed/>
    <w:rsid w:val="00036B5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6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6B56"/>
    <w:rPr>
      <w:rFonts w:ascii="Segoe UI" w:eastAsia="Times New Roman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100F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100F"/>
    <w:rPr>
      <w:rFonts w:ascii="Calibri" w:eastAsia="Times New Roman" w:hAnsi="Calibri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5B14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5B14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0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-muzea.cz" TargetMode="External"/><Relationship Id="rId13" Type="http://schemas.openxmlformats.org/officeDocument/2006/relationships/hyperlink" Target="http://www.central-group.cz/proc-central-grou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entral-group.cz/tiskove-zpravy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jemelka\AppData\Local\Temp\www.central-group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edia@central-group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rk-nikolajka.cz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C0129-D7B8-47BA-8039-65F1BF671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1238</Words>
  <Characters>7311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jankovsky</dc:creator>
  <cp:lastModifiedBy>jankovsky</cp:lastModifiedBy>
  <cp:revision>14</cp:revision>
  <cp:lastPrinted>2015-08-31T15:30:00Z</cp:lastPrinted>
  <dcterms:created xsi:type="dcterms:W3CDTF">2015-08-24T14:36:00Z</dcterms:created>
  <dcterms:modified xsi:type="dcterms:W3CDTF">2015-09-01T08:33:00Z</dcterms:modified>
</cp:coreProperties>
</file>