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CE" w:rsidRDefault="000C093A" w:rsidP="00EB5042">
      <w:pPr>
        <w:spacing w:after="0"/>
        <w:rPr>
          <w:rFonts w:ascii="Arial Black" w:hAnsi="Arial Black"/>
          <w:color w:val="000000" w:themeColor="text1"/>
          <w:sz w:val="28"/>
          <w:szCs w:val="28"/>
        </w:rPr>
      </w:pPr>
      <w:proofErr w:type="spellStart"/>
      <w:r>
        <w:rPr>
          <w:rFonts w:ascii="Arial Black" w:hAnsi="Arial Black"/>
          <w:color w:val="000000" w:themeColor="text1"/>
          <w:sz w:val="28"/>
          <w:szCs w:val="28"/>
        </w:rPr>
        <w:t>Central</w:t>
      </w:r>
      <w:proofErr w:type="spellEnd"/>
      <w:r>
        <w:rPr>
          <w:rFonts w:ascii="Arial Black" w:hAnsi="Arial Black"/>
          <w:color w:val="000000" w:themeColor="text1"/>
          <w:sz w:val="28"/>
          <w:szCs w:val="28"/>
        </w:rPr>
        <w:t xml:space="preserve"> Group</w:t>
      </w:r>
      <w:r w:rsidR="00567FCC">
        <w:rPr>
          <w:rFonts w:ascii="Arial Black" w:hAnsi="Arial Black"/>
          <w:color w:val="000000" w:themeColor="text1"/>
          <w:sz w:val="28"/>
          <w:szCs w:val="28"/>
        </w:rPr>
        <w:t xml:space="preserve"> </w:t>
      </w:r>
      <w:r w:rsidR="00EB5042">
        <w:rPr>
          <w:rFonts w:ascii="Arial Black" w:hAnsi="Arial Black"/>
          <w:color w:val="000000" w:themeColor="text1"/>
          <w:sz w:val="28"/>
          <w:szCs w:val="28"/>
        </w:rPr>
        <w:t xml:space="preserve">dá </w:t>
      </w:r>
      <w:r w:rsidR="00567FCC">
        <w:rPr>
          <w:rFonts w:ascii="Arial Black" w:hAnsi="Arial Black"/>
          <w:color w:val="000000" w:themeColor="text1"/>
          <w:sz w:val="28"/>
          <w:szCs w:val="28"/>
        </w:rPr>
        <w:t xml:space="preserve">na </w:t>
      </w:r>
      <w:r w:rsidR="00EB5042">
        <w:rPr>
          <w:rFonts w:ascii="Arial Black" w:hAnsi="Arial Black"/>
          <w:color w:val="000000" w:themeColor="text1"/>
          <w:sz w:val="28"/>
          <w:szCs w:val="28"/>
        </w:rPr>
        <w:t>podzim</w:t>
      </w:r>
      <w:r w:rsidR="00567FCC">
        <w:rPr>
          <w:rFonts w:ascii="Arial Black" w:hAnsi="Arial Black"/>
          <w:color w:val="000000" w:themeColor="text1"/>
          <w:sz w:val="28"/>
          <w:szCs w:val="28"/>
        </w:rPr>
        <w:t xml:space="preserve"> do prodeje</w:t>
      </w:r>
      <w:r w:rsidR="0065030F">
        <w:rPr>
          <w:rFonts w:ascii="Arial Black" w:hAnsi="Arial Black"/>
          <w:color w:val="000000" w:themeColor="text1"/>
          <w:sz w:val="28"/>
          <w:szCs w:val="28"/>
        </w:rPr>
        <w:t xml:space="preserve"> </w:t>
      </w:r>
      <w:r w:rsidR="00D21D3C">
        <w:rPr>
          <w:rFonts w:ascii="Arial Black" w:hAnsi="Arial Black"/>
          <w:color w:val="000000" w:themeColor="text1"/>
          <w:sz w:val="28"/>
          <w:szCs w:val="28"/>
        </w:rPr>
        <w:t>přes</w:t>
      </w:r>
      <w:r w:rsidR="0065030F" w:rsidRPr="00F13267">
        <w:rPr>
          <w:rFonts w:ascii="Arial Black" w:hAnsi="Arial Black"/>
          <w:color w:val="000000" w:themeColor="text1"/>
          <w:sz w:val="28"/>
          <w:szCs w:val="28"/>
        </w:rPr>
        <w:t xml:space="preserve"> </w:t>
      </w:r>
      <w:r w:rsidR="00D21D3C">
        <w:rPr>
          <w:rFonts w:ascii="Arial Black" w:hAnsi="Arial Black"/>
          <w:color w:val="000000" w:themeColor="text1"/>
          <w:sz w:val="28"/>
          <w:szCs w:val="28"/>
        </w:rPr>
        <w:t>4</w:t>
      </w:r>
      <w:r w:rsidR="00121D08">
        <w:rPr>
          <w:rFonts w:ascii="Arial Black" w:hAnsi="Arial Black"/>
          <w:color w:val="000000" w:themeColor="text1"/>
          <w:sz w:val="28"/>
          <w:szCs w:val="28"/>
        </w:rPr>
        <w:t>50</w:t>
      </w:r>
      <w:r w:rsidR="0065030F" w:rsidRPr="00F13267">
        <w:rPr>
          <w:rFonts w:ascii="Arial Black" w:hAnsi="Arial Black"/>
          <w:color w:val="000000" w:themeColor="text1"/>
          <w:sz w:val="28"/>
          <w:szCs w:val="28"/>
        </w:rPr>
        <w:t xml:space="preserve"> bytů</w:t>
      </w:r>
      <w:r w:rsidR="0065030F">
        <w:rPr>
          <w:rFonts w:ascii="Arial Black" w:hAnsi="Arial Black"/>
          <w:color w:val="000000" w:themeColor="text1"/>
          <w:sz w:val="28"/>
          <w:szCs w:val="28"/>
        </w:rPr>
        <w:t xml:space="preserve"> v</w:t>
      </w:r>
      <w:r w:rsidR="00EB5042">
        <w:rPr>
          <w:rFonts w:ascii="Arial Black" w:hAnsi="Arial Black"/>
          <w:color w:val="000000" w:themeColor="text1"/>
          <w:sz w:val="28"/>
          <w:szCs w:val="28"/>
        </w:rPr>
        <w:t xml:space="preserve"> </w:t>
      </w:r>
      <w:r w:rsidR="00D21D3C">
        <w:rPr>
          <w:rFonts w:ascii="Arial Black" w:hAnsi="Arial Black"/>
          <w:color w:val="000000" w:themeColor="text1"/>
          <w:sz w:val="28"/>
          <w:szCs w:val="28"/>
        </w:rPr>
        <w:t>pěti</w:t>
      </w:r>
      <w:r w:rsidR="00EB5042">
        <w:rPr>
          <w:rFonts w:ascii="Arial Black" w:hAnsi="Arial Black"/>
          <w:color w:val="000000" w:themeColor="text1"/>
          <w:sz w:val="28"/>
          <w:szCs w:val="28"/>
        </w:rPr>
        <w:t xml:space="preserve"> lokalitách</w:t>
      </w:r>
    </w:p>
    <w:p w:rsidR="00EB5042" w:rsidRPr="001069E5" w:rsidRDefault="00EB5042" w:rsidP="00EB5042">
      <w:pPr>
        <w:spacing w:after="0"/>
        <w:rPr>
          <w:rFonts w:ascii="Arial Black" w:hAnsi="Arial Black"/>
          <w:color w:val="000000" w:themeColor="text1"/>
          <w:sz w:val="32"/>
          <w:szCs w:val="32"/>
        </w:rPr>
      </w:pPr>
    </w:p>
    <w:p w:rsidR="000D3DC9" w:rsidRDefault="002C4DCA" w:rsidP="0065030F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i/>
          <w:lang w:eastAsia="cs-CZ"/>
        </w:rPr>
        <w:t>Praha,</w:t>
      </w:r>
      <w:r w:rsidR="00EB5042">
        <w:rPr>
          <w:rFonts w:ascii="Arial" w:hAnsi="Arial" w:cs="Arial"/>
          <w:i/>
          <w:lang w:eastAsia="cs-CZ"/>
        </w:rPr>
        <w:t xml:space="preserve"> </w:t>
      </w:r>
      <w:r w:rsidR="00414620">
        <w:rPr>
          <w:rFonts w:ascii="Arial" w:hAnsi="Arial" w:cs="Arial"/>
          <w:i/>
          <w:lang w:eastAsia="cs-CZ"/>
        </w:rPr>
        <w:t>3</w:t>
      </w:r>
      <w:r w:rsidR="00EB5042">
        <w:rPr>
          <w:rFonts w:ascii="Arial" w:hAnsi="Arial" w:cs="Arial"/>
          <w:i/>
          <w:lang w:eastAsia="cs-CZ"/>
        </w:rPr>
        <w:t>1</w:t>
      </w:r>
      <w:r w:rsidR="00DD4924">
        <w:rPr>
          <w:rFonts w:ascii="Arial" w:hAnsi="Arial" w:cs="Arial"/>
          <w:i/>
          <w:lang w:eastAsia="cs-CZ"/>
        </w:rPr>
        <w:t>.</w:t>
      </w:r>
      <w:r w:rsidR="000266CE" w:rsidRPr="007143C3">
        <w:rPr>
          <w:rFonts w:ascii="Arial" w:hAnsi="Arial" w:cs="Arial"/>
          <w:i/>
          <w:lang w:eastAsia="cs-CZ"/>
        </w:rPr>
        <w:t xml:space="preserve"> </w:t>
      </w:r>
      <w:r w:rsidR="00414620">
        <w:rPr>
          <w:rFonts w:ascii="Arial" w:hAnsi="Arial" w:cs="Arial"/>
          <w:i/>
          <w:lang w:eastAsia="cs-CZ"/>
        </w:rPr>
        <w:t>8</w:t>
      </w:r>
      <w:r w:rsidR="000266CE" w:rsidRPr="007143C3">
        <w:rPr>
          <w:rFonts w:ascii="Arial" w:hAnsi="Arial" w:cs="Arial"/>
          <w:i/>
          <w:lang w:eastAsia="cs-CZ"/>
        </w:rPr>
        <w:t>. 201</w:t>
      </w:r>
      <w:r w:rsidR="00AB4EEC">
        <w:rPr>
          <w:rFonts w:ascii="Arial" w:hAnsi="Arial" w:cs="Arial"/>
          <w:i/>
          <w:lang w:eastAsia="cs-CZ"/>
        </w:rPr>
        <w:t>6</w:t>
      </w:r>
      <w:r w:rsidR="000266CE" w:rsidRPr="007143C3">
        <w:rPr>
          <w:rFonts w:ascii="Arial" w:hAnsi="Arial" w:cs="Arial"/>
          <w:i/>
          <w:lang w:eastAsia="cs-CZ"/>
        </w:rPr>
        <w:t xml:space="preserve"> –</w:t>
      </w:r>
      <w:r w:rsidR="00DC1055">
        <w:rPr>
          <w:rFonts w:ascii="Arial" w:hAnsi="Arial" w:cs="Arial"/>
          <w:i/>
          <w:lang w:eastAsia="cs-CZ"/>
        </w:rPr>
        <w:t xml:space="preserve"> </w:t>
      </w:r>
      <w:r w:rsidR="00D21D3C">
        <w:rPr>
          <w:rFonts w:ascii="Arial" w:hAnsi="Arial" w:cs="Arial"/>
          <w:b/>
          <w:lang w:eastAsia="cs-CZ"/>
        </w:rPr>
        <w:t>Více než</w:t>
      </w:r>
      <w:r w:rsidR="0065030F" w:rsidRPr="00F13267">
        <w:rPr>
          <w:rFonts w:ascii="Arial" w:hAnsi="Arial" w:cs="Arial"/>
          <w:b/>
          <w:lang w:eastAsia="cs-CZ"/>
        </w:rPr>
        <w:t xml:space="preserve"> </w:t>
      </w:r>
      <w:r w:rsidR="00D21D3C">
        <w:rPr>
          <w:rFonts w:ascii="Arial" w:hAnsi="Arial" w:cs="Arial"/>
          <w:b/>
          <w:lang w:eastAsia="cs-CZ"/>
        </w:rPr>
        <w:t>4</w:t>
      </w:r>
      <w:r w:rsidR="00121D08">
        <w:rPr>
          <w:rFonts w:ascii="Arial" w:hAnsi="Arial" w:cs="Arial"/>
          <w:b/>
          <w:lang w:eastAsia="cs-CZ"/>
        </w:rPr>
        <w:t>50</w:t>
      </w:r>
      <w:r w:rsidR="0065030F" w:rsidRPr="00F13267">
        <w:rPr>
          <w:rFonts w:ascii="Arial" w:hAnsi="Arial" w:cs="Arial"/>
          <w:b/>
          <w:lang w:eastAsia="cs-CZ"/>
        </w:rPr>
        <w:t xml:space="preserve"> </w:t>
      </w:r>
      <w:r w:rsidR="000D3DC9" w:rsidRPr="00F13267">
        <w:rPr>
          <w:rFonts w:ascii="Arial" w:hAnsi="Arial" w:cs="Arial"/>
          <w:b/>
          <w:lang w:eastAsia="cs-CZ"/>
        </w:rPr>
        <w:t>nových</w:t>
      </w:r>
      <w:r w:rsidR="00EB5042">
        <w:rPr>
          <w:rFonts w:ascii="Arial" w:hAnsi="Arial" w:cs="Arial"/>
          <w:b/>
          <w:lang w:eastAsia="cs-CZ"/>
        </w:rPr>
        <w:t xml:space="preserve"> bytů v</w:t>
      </w:r>
      <w:r w:rsidR="00F70EB6">
        <w:rPr>
          <w:rFonts w:ascii="Arial" w:hAnsi="Arial" w:cs="Arial"/>
          <w:b/>
          <w:lang w:eastAsia="cs-CZ"/>
        </w:rPr>
        <w:t xml:space="preserve"> pěti</w:t>
      </w:r>
      <w:r w:rsidR="0065030F">
        <w:rPr>
          <w:rFonts w:ascii="Arial" w:hAnsi="Arial" w:cs="Arial"/>
          <w:b/>
          <w:lang w:eastAsia="cs-CZ"/>
        </w:rPr>
        <w:t xml:space="preserve"> pražských lokalitách</w:t>
      </w:r>
      <w:r w:rsidR="00F26AAE">
        <w:rPr>
          <w:rFonts w:ascii="Arial" w:hAnsi="Arial" w:cs="Arial"/>
          <w:b/>
          <w:lang w:eastAsia="cs-CZ"/>
        </w:rPr>
        <w:t xml:space="preserve"> a</w:t>
      </w:r>
      <w:r w:rsidR="0065030F">
        <w:rPr>
          <w:rFonts w:ascii="Arial" w:hAnsi="Arial" w:cs="Arial"/>
          <w:b/>
          <w:lang w:eastAsia="cs-CZ"/>
        </w:rPr>
        <w:t xml:space="preserve"> </w:t>
      </w:r>
      <w:r w:rsidR="00121D08">
        <w:rPr>
          <w:rFonts w:ascii="Arial" w:hAnsi="Arial" w:cs="Arial"/>
          <w:b/>
          <w:lang w:eastAsia="cs-CZ"/>
        </w:rPr>
        <w:t xml:space="preserve">na doplnění několik </w:t>
      </w:r>
      <w:r w:rsidR="0065030F">
        <w:rPr>
          <w:rFonts w:ascii="Arial" w:hAnsi="Arial" w:cs="Arial"/>
          <w:b/>
          <w:lang w:eastAsia="cs-CZ"/>
        </w:rPr>
        <w:t>rodinných domů v Praze.</w:t>
      </w:r>
      <w:r w:rsidR="000D3DC9">
        <w:rPr>
          <w:rFonts w:ascii="Arial" w:hAnsi="Arial" w:cs="Arial"/>
          <w:b/>
          <w:lang w:eastAsia="cs-CZ"/>
        </w:rPr>
        <w:t xml:space="preserve"> To je nová </w:t>
      </w:r>
      <w:r w:rsidR="00EB5042">
        <w:rPr>
          <w:rFonts w:ascii="Arial" w:hAnsi="Arial" w:cs="Arial"/>
          <w:b/>
          <w:lang w:eastAsia="cs-CZ"/>
        </w:rPr>
        <w:t>podzimní nabídka</w:t>
      </w:r>
      <w:r w:rsidR="000D3DC9">
        <w:rPr>
          <w:rFonts w:ascii="Arial" w:hAnsi="Arial" w:cs="Arial"/>
          <w:b/>
          <w:lang w:eastAsia="cs-CZ"/>
        </w:rPr>
        <w:t xml:space="preserve"> </w:t>
      </w:r>
      <w:proofErr w:type="spellStart"/>
      <w:r w:rsidR="000D3DC9">
        <w:rPr>
          <w:rFonts w:ascii="Arial" w:hAnsi="Arial" w:cs="Arial"/>
          <w:b/>
          <w:lang w:eastAsia="cs-CZ"/>
        </w:rPr>
        <w:t>Central</w:t>
      </w:r>
      <w:proofErr w:type="spellEnd"/>
      <w:r w:rsidR="000D3DC9">
        <w:rPr>
          <w:rFonts w:ascii="Arial" w:hAnsi="Arial" w:cs="Arial"/>
          <w:b/>
          <w:lang w:eastAsia="cs-CZ"/>
        </w:rPr>
        <w:t xml:space="preserve"> Group </w:t>
      </w:r>
      <w:r w:rsidR="008329A5">
        <w:rPr>
          <w:rFonts w:ascii="Arial" w:hAnsi="Arial" w:cs="Arial"/>
          <w:b/>
          <w:lang w:eastAsia="cs-CZ"/>
        </w:rPr>
        <w:t>–</w:t>
      </w:r>
      <w:r w:rsidR="000D3DC9">
        <w:rPr>
          <w:rFonts w:ascii="Arial" w:hAnsi="Arial" w:cs="Arial"/>
          <w:b/>
          <w:lang w:eastAsia="cs-CZ"/>
        </w:rPr>
        <w:t xml:space="preserve"> největšího domácího rezidenčního developera. Pražský realitní trh oživí pokračování velkých úspěšných bytových projektů, jako jsou například Letňanské zahrady</w:t>
      </w:r>
      <w:r w:rsidR="00EB5042">
        <w:rPr>
          <w:rFonts w:ascii="Arial" w:hAnsi="Arial" w:cs="Arial"/>
          <w:b/>
          <w:lang w:eastAsia="cs-CZ"/>
        </w:rPr>
        <w:t xml:space="preserve">, </w:t>
      </w:r>
      <w:r w:rsidR="00FC31BA">
        <w:rPr>
          <w:rFonts w:ascii="Arial" w:hAnsi="Arial" w:cs="Arial"/>
          <w:b/>
          <w:lang w:eastAsia="cs-CZ"/>
        </w:rPr>
        <w:t>ale i novinky v luxusním segmentu</w:t>
      </w:r>
      <w:r w:rsidR="000D3DC9">
        <w:rPr>
          <w:rFonts w:ascii="Arial" w:hAnsi="Arial" w:cs="Arial"/>
          <w:b/>
          <w:lang w:eastAsia="cs-CZ"/>
        </w:rPr>
        <w:t xml:space="preserve">. </w:t>
      </w:r>
      <w:r w:rsidR="00EB5042">
        <w:rPr>
          <w:rFonts w:ascii="Arial" w:hAnsi="Arial" w:cs="Arial"/>
          <w:b/>
          <w:lang w:eastAsia="cs-CZ"/>
        </w:rPr>
        <w:t xml:space="preserve">V prodeji </w:t>
      </w:r>
      <w:r w:rsidR="00FC31BA">
        <w:rPr>
          <w:rFonts w:ascii="Arial" w:hAnsi="Arial" w:cs="Arial"/>
          <w:b/>
          <w:lang w:eastAsia="cs-CZ"/>
        </w:rPr>
        <w:t xml:space="preserve">firma </w:t>
      </w:r>
      <w:r w:rsidR="00EB5042">
        <w:rPr>
          <w:rFonts w:ascii="Arial" w:hAnsi="Arial" w:cs="Arial"/>
          <w:b/>
          <w:lang w:eastAsia="cs-CZ"/>
        </w:rPr>
        <w:t xml:space="preserve">bude mít </w:t>
      </w:r>
      <w:r w:rsidR="00FC31BA">
        <w:rPr>
          <w:rFonts w:ascii="Arial" w:hAnsi="Arial" w:cs="Arial"/>
          <w:b/>
          <w:lang w:eastAsia="cs-CZ"/>
        </w:rPr>
        <w:t xml:space="preserve">současně </w:t>
      </w:r>
      <w:r w:rsidR="00D21D3C">
        <w:rPr>
          <w:rFonts w:ascii="Arial" w:hAnsi="Arial" w:cs="Arial"/>
          <w:b/>
          <w:lang w:eastAsia="cs-CZ"/>
        </w:rPr>
        <w:t>přes</w:t>
      </w:r>
      <w:r w:rsidR="00121D08">
        <w:rPr>
          <w:rFonts w:ascii="Arial" w:hAnsi="Arial" w:cs="Arial"/>
          <w:b/>
          <w:lang w:eastAsia="cs-CZ"/>
        </w:rPr>
        <w:t xml:space="preserve"> </w:t>
      </w:r>
      <w:r w:rsidR="00D21D3C">
        <w:rPr>
          <w:rFonts w:ascii="Arial" w:hAnsi="Arial" w:cs="Arial"/>
          <w:b/>
          <w:lang w:eastAsia="cs-CZ"/>
        </w:rPr>
        <w:t>8</w:t>
      </w:r>
      <w:r w:rsidR="00121D08">
        <w:rPr>
          <w:rFonts w:ascii="Arial" w:hAnsi="Arial" w:cs="Arial"/>
          <w:b/>
          <w:lang w:eastAsia="cs-CZ"/>
        </w:rPr>
        <w:t>00 bytů ve 12</w:t>
      </w:r>
      <w:r w:rsidR="00EB5042">
        <w:rPr>
          <w:rFonts w:ascii="Arial" w:hAnsi="Arial" w:cs="Arial"/>
          <w:b/>
          <w:lang w:eastAsia="cs-CZ"/>
        </w:rPr>
        <w:t xml:space="preserve"> lokalitách. S výjimkou Prahy 1 bude mít firma v nabídce byty ve všech ostatních </w:t>
      </w:r>
      <w:r w:rsidR="0004339F">
        <w:rPr>
          <w:rFonts w:ascii="Arial" w:hAnsi="Arial" w:cs="Arial"/>
          <w:b/>
          <w:lang w:eastAsia="cs-CZ"/>
        </w:rPr>
        <w:t xml:space="preserve">pražských </w:t>
      </w:r>
      <w:r w:rsidR="00EB5042">
        <w:rPr>
          <w:rFonts w:ascii="Arial" w:hAnsi="Arial" w:cs="Arial"/>
          <w:b/>
          <w:lang w:eastAsia="cs-CZ"/>
        </w:rPr>
        <w:t xml:space="preserve">obvodech. </w:t>
      </w:r>
      <w:r w:rsidR="00F70EB6">
        <w:rPr>
          <w:rFonts w:ascii="Arial" w:hAnsi="Arial" w:cs="Arial"/>
          <w:b/>
          <w:lang w:eastAsia="cs-CZ"/>
        </w:rPr>
        <w:t>Za celý letošní rok</w:t>
      </w:r>
      <w:r w:rsidR="00F70EB6">
        <w:rPr>
          <w:rFonts w:ascii="Arial" w:hAnsi="Arial" w:cs="Arial"/>
          <w:b/>
          <w:lang w:eastAsia="cs-CZ"/>
        </w:rPr>
        <w:t xml:space="preserve"> </w:t>
      </w:r>
      <w:r w:rsidR="00FC31BA">
        <w:rPr>
          <w:rFonts w:ascii="Arial" w:hAnsi="Arial" w:cs="Arial"/>
          <w:b/>
          <w:lang w:eastAsia="cs-CZ"/>
        </w:rPr>
        <w:t xml:space="preserve">tak </w:t>
      </w:r>
      <w:r w:rsidR="00F70EB6">
        <w:rPr>
          <w:rFonts w:ascii="Arial" w:hAnsi="Arial" w:cs="Arial"/>
          <w:b/>
          <w:lang w:eastAsia="cs-CZ"/>
        </w:rPr>
        <w:t xml:space="preserve">dá </w:t>
      </w:r>
      <w:proofErr w:type="spellStart"/>
      <w:r w:rsidR="00F70EB6">
        <w:rPr>
          <w:rFonts w:ascii="Arial" w:hAnsi="Arial" w:cs="Arial"/>
          <w:b/>
          <w:lang w:eastAsia="cs-CZ"/>
        </w:rPr>
        <w:t>Central</w:t>
      </w:r>
      <w:proofErr w:type="spellEnd"/>
      <w:r w:rsidR="00F70EB6">
        <w:rPr>
          <w:rFonts w:ascii="Arial" w:hAnsi="Arial" w:cs="Arial"/>
          <w:b/>
          <w:lang w:eastAsia="cs-CZ"/>
        </w:rPr>
        <w:t xml:space="preserve"> Group na trh více než tisícovku bytů.</w:t>
      </w:r>
    </w:p>
    <w:p w:rsidR="000D3DC9" w:rsidRDefault="000D3DC9" w:rsidP="0065030F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</w:p>
    <w:p w:rsidR="00D13CF0" w:rsidRDefault="0059759C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I v nabídce </w:t>
      </w:r>
      <w:proofErr w:type="spellStart"/>
      <w:r>
        <w:rPr>
          <w:rFonts w:ascii="Arial" w:hAnsi="Arial" w:cs="Arial"/>
          <w:lang w:eastAsia="cs-CZ"/>
        </w:rPr>
        <w:t>Central</w:t>
      </w:r>
      <w:proofErr w:type="spellEnd"/>
      <w:r>
        <w:rPr>
          <w:rFonts w:ascii="Arial" w:hAnsi="Arial" w:cs="Arial"/>
          <w:lang w:eastAsia="cs-CZ"/>
        </w:rPr>
        <w:t xml:space="preserve"> Group se již začíná projevovat nedostatek platných stavebních povolení, který způsobují úřady svým odmítavým postojem k nové výstavbě. </w:t>
      </w:r>
      <w:proofErr w:type="spellStart"/>
      <w:r>
        <w:rPr>
          <w:rFonts w:ascii="Arial" w:hAnsi="Arial" w:cs="Arial"/>
          <w:lang w:eastAsia="cs-CZ"/>
        </w:rPr>
        <w:t>Central</w:t>
      </w:r>
      <w:proofErr w:type="spellEnd"/>
      <w:r>
        <w:rPr>
          <w:rFonts w:ascii="Arial" w:hAnsi="Arial" w:cs="Arial"/>
          <w:lang w:eastAsia="cs-CZ"/>
        </w:rPr>
        <w:t xml:space="preserve"> Group tak v letošním roce prodá více bytů, než jich za stejnou dobu uvede na trh, což může způsobit do budoucna značné problémy. </w:t>
      </w:r>
      <w:r w:rsidR="0004339F">
        <w:rPr>
          <w:rFonts w:ascii="Arial" w:hAnsi="Arial" w:cs="Arial"/>
          <w:lang w:eastAsia="cs-CZ"/>
        </w:rPr>
        <w:t xml:space="preserve">Za první pololetí </w:t>
      </w:r>
      <w:proofErr w:type="spellStart"/>
      <w:r w:rsidR="00D13CF0">
        <w:rPr>
          <w:rFonts w:ascii="Arial" w:hAnsi="Arial" w:cs="Arial"/>
          <w:lang w:eastAsia="cs-CZ"/>
        </w:rPr>
        <w:t>Central</w:t>
      </w:r>
      <w:proofErr w:type="spellEnd"/>
      <w:r w:rsidR="00D13CF0">
        <w:rPr>
          <w:rFonts w:ascii="Arial" w:hAnsi="Arial" w:cs="Arial"/>
          <w:lang w:eastAsia="cs-CZ"/>
        </w:rPr>
        <w:t xml:space="preserve"> Group prodal 712 bytů za 2,8 miliardy korun. Meziročně tak prodej vzrostl o 44 procent. </w:t>
      </w:r>
      <w:r w:rsidR="00D13CF0" w:rsidRPr="00D13CF0">
        <w:rPr>
          <w:rFonts w:ascii="Arial" w:hAnsi="Arial" w:cs="Arial"/>
          <w:i/>
          <w:lang w:eastAsia="cs-CZ"/>
        </w:rPr>
        <w:t xml:space="preserve">„Ve druhém pololetí se již </w:t>
      </w:r>
      <w:r w:rsidR="00D21D3C">
        <w:rPr>
          <w:rFonts w:ascii="Arial" w:hAnsi="Arial" w:cs="Arial"/>
          <w:i/>
          <w:lang w:eastAsia="cs-CZ"/>
        </w:rPr>
        <w:t xml:space="preserve">na pražském trhu </w:t>
      </w:r>
      <w:r w:rsidR="004D2488">
        <w:rPr>
          <w:rFonts w:ascii="Arial" w:hAnsi="Arial" w:cs="Arial"/>
          <w:i/>
          <w:lang w:eastAsia="cs-CZ"/>
        </w:rPr>
        <w:t>může začít</w:t>
      </w:r>
      <w:r w:rsidR="00D13CF0" w:rsidRPr="00D13CF0">
        <w:rPr>
          <w:rFonts w:ascii="Arial" w:hAnsi="Arial" w:cs="Arial"/>
          <w:i/>
          <w:lang w:eastAsia="cs-CZ"/>
        </w:rPr>
        <w:t xml:space="preserve"> projevovat pokles, který způsobí nedostatek nových bytů v</w:t>
      </w:r>
      <w:r w:rsidR="00E412E8">
        <w:rPr>
          <w:rFonts w:ascii="Arial" w:hAnsi="Arial" w:cs="Arial"/>
          <w:i/>
          <w:lang w:eastAsia="cs-CZ"/>
        </w:rPr>
        <w:t> </w:t>
      </w:r>
      <w:r w:rsidR="00D13CF0" w:rsidRPr="00D13CF0">
        <w:rPr>
          <w:rFonts w:ascii="Arial" w:hAnsi="Arial" w:cs="Arial"/>
          <w:i/>
          <w:lang w:eastAsia="cs-CZ"/>
        </w:rPr>
        <w:t>nabídce</w:t>
      </w:r>
      <w:r w:rsidR="00E412E8">
        <w:rPr>
          <w:rFonts w:ascii="Arial" w:hAnsi="Arial" w:cs="Arial"/>
          <w:i/>
          <w:lang w:eastAsia="cs-CZ"/>
        </w:rPr>
        <w:t xml:space="preserve">. </w:t>
      </w:r>
      <w:r>
        <w:rPr>
          <w:rFonts w:ascii="Arial" w:hAnsi="Arial" w:cs="Arial"/>
          <w:i/>
          <w:lang w:eastAsia="cs-CZ"/>
        </w:rPr>
        <w:t xml:space="preserve">Tristní přístup </w:t>
      </w:r>
      <w:r w:rsidR="00D13CF0" w:rsidRPr="00D13CF0">
        <w:rPr>
          <w:rFonts w:ascii="Arial" w:hAnsi="Arial" w:cs="Arial"/>
          <w:i/>
          <w:lang w:eastAsia="cs-CZ"/>
        </w:rPr>
        <w:t xml:space="preserve">úředníků </w:t>
      </w:r>
      <w:r>
        <w:rPr>
          <w:rFonts w:ascii="Arial" w:hAnsi="Arial" w:cs="Arial"/>
          <w:i/>
          <w:lang w:eastAsia="cs-CZ"/>
        </w:rPr>
        <w:t xml:space="preserve">k povolování nové výstavby </w:t>
      </w:r>
      <w:r w:rsidR="00D13CF0" w:rsidRPr="00D13CF0">
        <w:rPr>
          <w:rFonts w:ascii="Arial" w:hAnsi="Arial" w:cs="Arial"/>
          <w:i/>
          <w:lang w:eastAsia="cs-CZ"/>
        </w:rPr>
        <w:t xml:space="preserve">již také způsobil meziroční zvýšení cen nových bytů </w:t>
      </w:r>
      <w:r w:rsidR="00F70EB6">
        <w:rPr>
          <w:rFonts w:ascii="Arial" w:hAnsi="Arial" w:cs="Arial"/>
          <w:i/>
          <w:lang w:eastAsia="cs-CZ"/>
        </w:rPr>
        <w:t xml:space="preserve">na trhu </w:t>
      </w:r>
      <w:r w:rsidR="00D13CF0" w:rsidRPr="00D13CF0">
        <w:rPr>
          <w:rFonts w:ascii="Arial" w:hAnsi="Arial" w:cs="Arial"/>
          <w:i/>
          <w:lang w:eastAsia="cs-CZ"/>
        </w:rPr>
        <w:t>o téměř dvě desítky procent,“</w:t>
      </w:r>
      <w:r w:rsidR="00D13CF0">
        <w:rPr>
          <w:rFonts w:ascii="Arial" w:hAnsi="Arial" w:cs="Arial"/>
          <w:lang w:eastAsia="cs-CZ"/>
        </w:rPr>
        <w:t xml:space="preserve"> řekl šéf </w:t>
      </w:r>
      <w:proofErr w:type="spellStart"/>
      <w:r w:rsidR="00D13CF0">
        <w:rPr>
          <w:rFonts w:ascii="Arial" w:hAnsi="Arial" w:cs="Arial"/>
          <w:lang w:eastAsia="cs-CZ"/>
        </w:rPr>
        <w:t>Central</w:t>
      </w:r>
      <w:proofErr w:type="spellEnd"/>
      <w:r w:rsidR="00D13CF0">
        <w:rPr>
          <w:rFonts w:ascii="Arial" w:hAnsi="Arial" w:cs="Arial"/>
          <w:lang w:eastAsia="cs-CZ"/>
        </w:rPr>
        <w:t xml:space="preserve"> Group Dušan Kunovský.</w:t>
      </w:r>
    </w:p>
    <w:p w:rsidR="00D21D3C" w:rsidRDefault="00D21D3C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04339F" w:rsidRDefault="00D21D3C" w:rsidP="0004339F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Společnosti </w:t>
      </w:r>
      <w:proofErr w:type="spellStart"/>
      <w:r>
        <w:rPr>
          <w:rFonts w:ascii="Arial" w:hAnsi="Arial" w:cs="Arial"/>
          <w:lang w:eastAsia="cs-CZ"/>
        </w:rPr>
        <w:t>Central</w:t>
      </w:r>
      <w:proofErr w:type="spellEnd"/>
      <w:r>
        <w:rPr>
          <w:rFonts w:ascii="Arial" w:hAnsi="Arial" w:cs="Arial"/>
          <w:lang w:eastAsia="cs-CZ"/>
        </w:rPr>
        <w:t xml:space="preserve"> Group se zatím daří nabízet dostatek bytů.</w:t>
      </w:r>
      <w:r w:rsidR="0004339F">
        <w:rPr>
          <w:rFonts w:ascii="Arial" w:hAnsi="Arial" w:cs="Arial"/>
          <w:lang w:eastAsia="cs-CZ"/>
        </w:rPr>
        <w:t xml:space="preserve"> </w:t>
      </w:r>
      <w:r w:rsidR="0004339F" w:rsidRPr="002830D4">
        <w:rPr>
          <w:rFonts w:ascii="Arial" w:hAnsi="Arial" w:cs="Arial"/>
          <w:lang w:eastAsia="cs-CZ"/>
        </w:rPr>
        <w:t>V zájmu zachování dostatečné nabídky</w:t>
      </w:r>
      <w:r w:rsidR="002830D4" w:rsidRPr="002830D4">
        <w:rPr>
          <w:rFonts w:ascii="Arial" w:hAnsi="Arial" w:cs="Arial"/>
          <w:lang w:eastAsia="cs-CZ"/>
        </w:rPr>
        <w:t xml:space="preserve"> firma ale </w:t>
      </w:r>
      <w:r w:rsidR="00F70EB6">
        <w:rPr>
          <w:rFonts w:ascii="Arial" w:hAnsi="Arial" w:cs="Arial"/>
          <w:lang w:eastAsia="cs-CZ"/>
        </w:rPr>
        <w:t>zařadí</w:t>
      </w:r>
      <w:r w:rsidR="0004339F" w:rsidRPr="002830D4">
        <w:rPr>
          <w:rFonts w:ascii="Arial" w:hAnsi="Arial" w:cs="Arial"/>
          <w:lang w:eastAsia="cs-CZ"/>
        </w:rPr>
        <w:t xml:space="preserve"> do prodeje </w:t>
      </w:r>
      <w:r w:rsidR="00FC31BA">
        <w:rPr>
          <w:rFonts w:ascii="Arial" w:hAnsi="Arial" w:cs="Arial"/>
          <w:lang w:eastAsia="cs-CZ"/>
        </w:rPr>
        <w:t xml:space="preserve">například i </w:t>
      </w:r>
      <w:r w:rsidR="0004339F" w:rsidRPr="002830D4">
        <w:rPr>
          <w:rFonts w:ascii="Arial" w:hAnsi="Arial" w:cs="Arial"/>
          <w:lang w:eastAsia="cs-CZ"/>
        </w:rPr>
        <w:t>luxusní projekt Rezidence Nad Vltavou v Holešovicích ve fázi výstavby, byť se v minulosti j</w:t>
      </w:r>
      <w:r w:rsidR="00414620">
        <w:rPr>
          <w:rFonts w:ascii="Arial" w:hAnsi="Arial" w:cs="Arial"/>
          <w:lang w:eastAsia="cs-CZ"/>
        </w:rPr>
        <w:t>ednoznačně</w:t>
      </w:r>
      <w:r w:rsidR="0004339F" w:rsidRPr="002830D4">
        <w:rPr>
          <w:rFonts w:ascii="Arial" w:hAnsi="Arial" w:cs="Arial"/>
          <w:lang w:eastAsia="cs-CZ"/>
        </w:rPr>
        <w:t xml:space="preserve"> osvědčilo </w:t>
      </w:r>
      <w:r w:rsidR="0059759C">
        <w:rPr>
          <w:rFonts w:ascii="Arial" w:hAnsi="Arial" w:cs="Arial"/>
          <w:lang w:eastAsia="cs-CZ"/>
        </w:rPr>
        <w:t xml:space="preserve">prodávat luxusní byty </w:t>
      </w:r>
      <w:r w:rsidR="0004339F" w:rsidRPr="002830D4">
        <w:rPr>
          <w:rFonts w:ascii="Arial" w:hAnsi="Arial" w:cs="Arial"/>
          <w:lang w:eastAsia="cs-CZ"/>
        </w:rPr>
        <w:t>až po úplném dokončení stavby</w:t>
      </w:r>
      <w:r w:rsidR="002830D4" w:rsidRPr="002830D4">
        <w:rPr>
          <w:rFonts w:ascii="Arial" w:hAnsi="Arial" w:cs="Arial"/>
          <w:lang w:eastAsia="cs-CZ"/>
        </w:rPr>
        <w:t>.</w:t>
      </w:r>
      <w:r w:rsidR="0004339F">
        <w:rPr>
          <w:rFonts w:ascii="Arial" w:hAnsi="Arial" w:cs="Arial"/>
          <w:lang w:eastAsia="cs-CZ"/>
        </w:rPr>
        <w:t xml:space="preserve"> </w:t>
      </w:r>
      <w:r w:rsidR="002830D4">
        <w:rPr>
          <w:rFonts w:ascii="Arial" w:hAnsi="Arial" w:cs="Arial"/>
          <w:lang w:eastAsia="cs-CZ"/>
        </w:rPr>
        <w:t>Ti</w:t>
      </w:r>
      <w:r w:rsidR="0004339F">
        <w:rPr>
          <w:rFonts w:ascii="Arial" w:hAnsi="Arial" w:cs="Arial"/>
          <w:lang w:eastAsia="cs-CZ"/>
        </w:rPr>
        <w:t>, k</w:t>
      </w:r>
      <w:r w:rsidR="002830D4">
        <w:rPr>
          <w:rFonts w:ascii="Arial" w:hAnsi="Arial" w:cs="Arial"/>
          <w:lang w:eastAsia="cs-CZ"/>
        </w:rPr>
        <w:t>do</w:t>
      </w:r>
      <w:r w:rsidR="0004339F">
        <w:rPr>
          <w:rFonts w:ascii="Arial" w:hAnsi="Arial" w:cs="Arial"/>
          <w:lang w:eastAsia="cs-CZ"/>
        </w:rPr>
        <w:t xml:space="preserve"> </w:t>
      </w:r>
      <w:r w:rsidR="002830D4">
        <w:rPr>
          <w:rFonts w:ascii="Arial" w:hAnsi="Arial" w:cs="Arial"/>
          <w:lang w:eastAsia="cs-CZ"/>
        </w:rPr>
        <w:t>hodlají na</w:t>
      </w:r>
      <w:r w:rsidR="0004339F">
        <w:rPr>
          <w:rFonts w:ascii="Arial" w:hAnsi="Arial" w:cs="Arial"/>
          <w:lang w:eastAsia="cs-CZ"/>
        </w:rPr>
        <w:t xml:space="preserve"> bydlení </w:t>
      </w:r>
      <w:r w:rsidR="002830D4">
        <w:rPr>
          <w:rFonts w:ascii="Arial" w:hAnsi="Arial" w:cs="Arial"/>
          <w:lang w:eastAsia="cs-CZ"/>
        </w:rPr>
        <w:t xml:space="preserve">vynaložit </w:t>
      </w:r>
      <w:r w:rsidR="0004339F">
        <w:rPr>
          <w:rFonts w:ascii="Arial" w:hAnsi="Arial" w:cs="Arial"/>
          <w:lang w:eastAsia="cs-CZ"/>
        </w:rPr>
        <w:t>mnohamilionové částky</w:t>
      </w:r>
      <w:r w:rsidR="002830D4">
        <w:rPr>
          <w:rFonts w:ascii="Arial" w:hAnsi="Arial" w:cs="Arial"/>
          <w:lang w:eastAsia="cs-CZ"/>
        </w:rPr>
        <w:t>,</w:t>
      </w:r>
      <w:r w:rsidR="0004339F">
        <w:rPr>
          <w:rFonts w:ascii="Arial" w:hAnsi="Arial" w:cs="Arial"/>
          <w:lang w:eastAsia="cs-CZ"/>
        </w:rPr>
        <w:t xml:space="preserve"> </w:t>
      </w:r>
      <w:r w:rsidR="002830D4">
        <w:rPr>
          <w:rFonts w:ascii="Arial" w:hAnsi="Arial" w:cs="Arial"/>
          <w:lang w:eastAsia="cs-CZ"/>
        </w:rPr>
        <w:t xml:space="preserve">totiž </w:t>
      </w:r>
      <w:r w:rsidR="0004339F">
        <w:rPr>
          <w:rFonts w:ascii="Arial" w:hAnsi="Arial" w:cs="Arial"/>
          <w:lang w:eastAsia="cs-CZ"/>
        </w:rPr>
        <w:t xml:space="preserve">chtějí </w:t>
      </w:r>
      <w:r w:rsidR="002830D4">
        <w:rPr>
          <w:rFonts w:ascii="Arial" w:hAnsi="Arial" w:cs="Arial"/>
          <w:lang w:eastAsia="cs-CZ"/>
        </w:rPr>
        <w:t xml:space="preserve">v reálu </w:t>
      </w:r>
      <w:r w:rsidR="0004339F">
        <w:rPr>
          <w:rFonts w:ascii="Arial" w:hAnsi="Arial" w:cs="Arial"/>
          <w:lang w:eastAsia="cs-CZ"/>
        </w:rPr>
        <w:t xml:space="preserve">vidět, do čeho </w:t>
      </w:r>
      <w:r w:rsidR="002830D4">
        <w:rPr>
          <w:rFonts w:ascii="Arial" w:hAnsi="Arial" w:cs="Arial"/>
          <w:lang w:eastAsia="cs-CZ"/>
        </w:rPr>
        <w:t>své prostředky investují.</w:t>
      </w:r>
      <w:r w:rsidR="002830D4" w:rsidRPr="002830D4">
        <w:rPr>
          <w:rFonts w:ascii="Arial" w:hAnsi="Arial" w:cs="Arial"/>
          <w:i/>
          <w:lang w:eastAsia="cs-CZ"/>
        </w:rPr>
        <w:t xml:space="preserve"> „Povolování nových projektů je ale nyní v Praze u ledu. Za poslední čtvrtletí úřady vydaly </w:t>
      </w:r>
      <w:r w:rsidR="002830D4">
        <w:rPr>
          <w:rFonts w:ascii="Arial" w:hAnsi="Arial" w:cs="Arial"/>
          <w:i/>
          <w:lang w:eastAsia="cs-CZ"/>
        </w:rPr>
        <w:t xml:space="preserve">stavební </w:t>
      </w:r>
      <w:r w:rsidR="002830D4" w:rsidRPr="002830D4">
        <w:rPr>
          <w:rFonts w:ascii="Arial" w:hAnsi="Arial" w:cs="Arial"/>
          <w:i/>
          <w:lang w:eastAsia="cs-CZ"/>
        </w:rPr>
        <w:t>povolení jen pro 28 bytů pro celou Prahu,“</w:t>
      </w:r>
      <w:r w:rsidR="002830D4">
        <w:rPr>
          <w:rFonts w:ascii="Arial" w:hAnsi="Arial" w:cs="Arial"/>
          <w:i/>
          <w:lang w:eastAsia="cs-CZ"/>
        </w:rPr>
        <w:t xml:space="preserve"> </w:t>
      </w:r>
      <w:r w:rsidR="0059759C">
        <w:rPr>
          <w:rFonts w:ascii="Arial" w:hAnsi="Arial" w:cs="Arial"/>
          <w:lang w:eastAsia="cs-CZ"/>
        </w:rPr>
        <w:t>postěžoval si</w:t>
      </w:r>
      <w:r w:rsidR="002830D4">
        <w:rPr>
          <w:rFonts w:ascii="Arial" w:hAnsi="Arial" w:cs="Arial"/>
          <w:lang w:eastAsia="cs-CZ"/>
        </w:rPr>
        <w:t xml:space="preserve"> Kunovský. </w:t>
      </w:r>
    </w:p>
    <w:p w:rsidR="0004339F" w:rsidRDefault="0004339F" w:rsidP="0004339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0D3DC9" w:rsidRPr="004A1CF9" w:rsidRDefault="005D2C5A" w:rsidP="0065030F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Další luxusní projekt</w:t>
      </w:r>
      <w:r w:rsidR="0004339F">
        <w:rPr>
          <w:rFonts w:ascii="Arial" w:hAnsi="Arial" w:cs="Arial"/>
          <w:b/>
          <w:lang w:eastAsia="cs-CZ"/>
        </w:rPr>
        <w:t>y</w:t>
      </w:r>
      <w:r>
        <w:rPr>
          <w:rFonts w:ascii="Arial" w:hAnsi="Arial" w:cs="Arial"/>
          <w:b/>
          <w:lang w:eastAsia="cs-CZ"/>
        </w:rPr>
        <w:t xml:space="preserve"> v barvách </w:t>
      </w:r>
      <w:proofErr w:type="spellStart"/>
      <w:r>
        <w:rPr>
          <w:rFonts w:ascii="Arial" w:hAnsi="Arial" w:cs="Arial"/>
          <w:b/>
          <w:lang w:eastAsia="cs-CZ"/>
        </w:rPr>
        <w:t>Central</w:t>
      </w:r>
      <w:proofErr w:type="spellEnd"/>
      <w:r>
        <w:rPr>
          <w:rFonts w:ascii="Arial" w:hAnsi="Arial" w:cs="Arial"/>
          <w:b/>
          <w:lang w:eastAsia="cs-CZ"/>
        </w:rPr>
        <w:t xml:space="preserve"> Group</w:t>
      </w:r>
    </w:p>
    <w:p w:rsidR="005D2C5A" w:rsidRDefault="000D3DC9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  <w:proofErr w:type="spellStart"/>
      <w:r>
        <w:rPr>
          <w:rFonts w:ascii="Arial" w:hAnsi="Arial" w:cs="Arial"/>
          <w:lang w:eastAsia="cs-CZ"/>
        </w:rPr>
        <w:t>Central</w:t>
      </w:r>
      <w:proofErr w:type="spellEnd"/>
      <w:r>
        <w:rPr>
          <w:rFonts w:ascii="Arial" w:hAnsi="Arial" w:cs="Arial"/>
          <w:lang w:eastAsia="cs-CZ"/>
        </w:rPr>
        <w:t xml:space="preserve"> Group vloni vstoupil do exkluzivního segmentu zařazením projektu Rezidence Park </w:t>
      </w:r>
      <w:proofErr w:type="spellStart"/>
      <w:r>
        <w:rPr>
          <w:rFonts w:ascii="Arial" w:hAnsi="Arial" w:cs="Arial"/>
          <w:lang w:eastAsia="cs-CZ"/>
        </w:rPr>
        <w:t>Nikolajka</w:t>
      </w:r>
      <w:proofErr w:type="spellEnd"/>
      <w:r>
        <w:rPr>
          <w:rFonts w:ascii="Arial" w:hAnsi="Arial" w:cs="Arial"/>
          <w:lang w:eastAsia="cs-CZ"/>
        </w:rPr>
        <w:t>. A</w:t>
      </w:r>
      <w:r w:rsidR="00877565">
        <w:rPr>
          <w:rFonts w:ascii="Arial" w:hAnsi="Arial" w:cs="Arial"/>
          <w:lang w:eastAsia="cs-CZ"/>
        </w:rPr>
        <w:t xml:space="preserve"> hned</w:t>
      </w:r>
      <w:r w:rsidR="007B1C7A">
        <w:rPr>
          <w:rFonts w:ascii="Arial" w:hAnsi="Arial" w:cs="Arial"/>
          <w:lang w:eastAsia="cs-CZ"/>
        </w:rPr>
        <w:t xml:space="preserve"> velmi úspěšně</w:t>
      </w:r>
      <w:r>
        <w:rPr>
          <w:rFonts w:ascii="Arial" w:hAnsi="Arial" w:cs="Arial"/>
          <w:lang w:eastAsia="cs-CZ"/>
        </w:rPr>
        <w:t>.</w:t>
      </w:r>
      <w:r w:rsidR="005D2C5A">
        <w:rPr>
          <w:rFonts w:ascii="Arial" w:hAnsi="Arial" w:cs="Arial"/>
          <w:lang w:eastAsia="cs-CZ"/>
        </w:rPr>
        <w:t xml:space="preserve"> V prodeji v tomto nejluxusnějším projektu firmy nyní zbývá méně než </w:t>
      </w:r>
      <w:r w:rsidR="0059759C">
        <w:rPr>
          <w:rFonts w:ascii="Arial" w:hAnsi="Arial" w:cs="Arial"/>
          <w:lang w:eastAsia="cs-CZ"/>
        </w:rPr>
        <w:t xml:space="preserve">40 procent </w:t>
      </w:r>
      <w:r w:rsidR="005D2C5A">
        <w:rPr>
          <w:rFonts w:ascii="Arial" w:hAnsi="Arial" w:cs="Arial"/>
          <w:lang w:eastAsia="cs-CZ"/>
        </w:rPr>
        <w:t xml:space="preserve">bytů. Letos v tomto nejvyšším segmentu nabídku doplnil projekt v samém centru </w:t>
      </w:r>
      <w:r w:rsidR="00E412E8">
        <w:rPr>
          <w:rFonts w:ascii="Arial" w:hAnsi="Arial" w:cs="Arial"/>
          <w:lang w:eastAsia="cs-CZ"/>
        </w:rPr>
        <w:t>P</w:t>
      </w:r>
      <w:r w:rsidR="005D2C5A">
        <w:rPr>
          <w:rFonts w:ascii="Arial" w:hAnsi="Arial" w:cs="Arial"/>
          <w:lang w:eastAsia="cs-CZ"/>
        </w:rPr>
        <w:t>rahy Rezidence U Muzea, kde se od poloviny dubna vyprodala již</w:t>
      </w:r>
      <w:r w:rsidR="004D2488">
        <w:rPr>
          <w:rFonts w:ascii="Arial" w:hAnsi="Arial" w:cs="Arial"/>
          <w:lang w:eastAsia="cs-CZ"/>
        </w:rPr>
        <w:t xml:space="preserve"> polovina bytů</w:t>
      </w:r>
      <w:r w:rsidR="005D2C5A">
        <w:rPr>
          <w:rFonts w:ascii="Arial" w:hAnsi="Arial" w:cs="Arial"/>
          <w:lang w:eastAsia="cs-CZ"/>
        </w:rPr>
        <w:t>.</w:t>
      </w:r>
    </w:p>
    <w:p w:rsidR="005D2C5A" w:rsidRDefault="005D2C5A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5D2C5A" w:rsidRDefault="005D2C5A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Nadstandardní segment </w:t>
      </w:r>
      <w:r w:rsidR="0059759C">
        <w:rPr>
          <w:rFonts w:ascii="Arial" w:hAnsi="Arial" w:cs="Arial"/>
          <w:lang w:eastAsia="cs-CZ"/>
        </w:rPr>
        <w:t>představuje</w:t>
      </w:r>
      <w:r>
        <w:rPr>
          <w:rFonts w:ascii="Arial" w:hAnsi="Arial" w:cs="Arial"/>
          <w:lang w:eastAsia="cs-CZ"/>
        </w:rPr>
        <w:t xml:space="preserve"> nově dokončený vlajkový projekt Residence Garden </w:t>
      </w:r>
      <w:proofErr w:type="spellStart"/>
      <w:r>
        <w:rPr>
          <w:rFonts w:ascii="Arial" w:hAnsi="Arial" w:cs="Arial"/>
          <w:lang w:eastAsia="cs-CZ"/>
        </w:rPr>
        <w:t>Towers</w:t>
      </w:r>
      <w:proofErr w:type="spellEnd"/>
      <w:r>
        <w:rPr>
          <w:rFonts w:ascii="Arial" w:hAnsi="Arial" w:cs="Arial"/>
          <w:lang w:eastAsia="cs-CZ"/>
        </w:rPr>
        <w:t xml:space="preserve">, který je se 700 byty největší bytovou stavbou v Česku. Aktuálně zbývá </w:t>
      </w:r>
      <w:r w:rsidR="00414620">
        <w:rPr>
          <w:rFonts w:ascii="Arial" w:hAnsi="Arial" w:cs="Arial"/>
          <w:lang w:eastAsia="cs-CZ"/>
        </w:rPr>
        <w:t>80</w:t>
      </w:r>
      <w:r>
        <w:rPr>
          <w:rFonts w:ascii="Arial" w:hAnsi="Arial" w:cs="Arial"/>
          <w:lang w:eastAsia="cs-CZ"/>
        </w:rPr>
        <w:t xml:space="preserve"> posledních bytů v nabídce. Prodejní rekord letošního roku představuje Rezidence Břevnovské centrum, která se začala prodávat v</w:t>
      </w:r>
      <w:r w:rsidR="00414620">
        <w:rPr>
          <w:rFonts w:ascii="Arial" w:hAnsi="Arial" w:cs="Arial"/>
          <w:lang w:eastAsia="cs-CZ"/>
        </w:rPr>
        <w:t> </w:t>
      </w:r>
      <w:r>
        <w:rPr>
          <w:rFonts w:ascii="Arial" w:hAnsi="Arial" w:cs="Arial"/>
          <w:lang w:eastAsia="cs-CZ"/>
        </w:rPr>
        <w:t>květnu</w:t>
      </w:r>
      <w:r w:rsidR="00414620">
        <w:rPr>
          <w:rFonts w:ascii="Arial" w:hAnsi="Arial" w:cs="Arial"/>
          <w:lang w:eastAsia="cs-CZ"/>
        </w:rPr>
        <w:t>,</w:t>
      </w:r>
      <w:r>
        <w:rPr>
          <w:rFonts w:ascii="Arial" w:hAnsi="Arial" w:cs="Arial"/>
          <w:lang w:eastAsia="cs-CZ"/>
        </w:rPr>
        <w:t xml:space="preserve"> a za první měsíc se zde prodalo </w:t>
      </w:r>
      <w:r w:rsidR="00C908CA">
        <w:rPr>
          <w:rFonts w:ascii="Arial" w:hAnsi="Arial" w:cs="Arial"/>
          <w:lang w:eastAsia="cs-CZ"/>
        </w:rPr>
        <w:t>40</w:t>
      </w:r>
      <w:r>
        <w:rPr>
          <w:rFonts w:ascii="Arial" w:hAnsi="Arial" w:cs="Arial"/>
          <w:lang w:eastAsia="cs-CZ"/>
        </w:rPr>
        <w:t xml:space="preserve"> procent luxusních bytů. Dnes v nabídce zbývá posledních </w:t>
      </w:r>
      <w:r w:rsidR="00414620">
        <w:rPr>
          <w:rFonts w:ascii="Arial" w:hAnsi="Arial" w:cs="Arial"/>
          <w:lang w:eastAsia="cs-CZ"/>
        </w:rPr>
        <w:t>2</w:t>
      </w:r>
      <w:r w:rsidR="00FC31BA">
        <w:rPr>
          <w:rFonts w:ascii="Arial" w:hAnsi="Arial" w:cs="Arial"/>
          <w:lang w:eastAsia="cs-CZ"/>
        </w:rPr>
        <w:t>2</w:t>
      </w:r>
      <w:r>
        <w:rPr>
          <w:rFonts w:ascii="Arial" w:hAnsi="Arial" w:cs="Arial"/>
          <w:lang w:eastAsia="cs-CZ"/>
        </w:rPr>
        <w:t xml:space="preserve"> </w:t>
      </w:r>
      <w:r w:rsidR="004D2488">
        <w:rPr>
          <w:rFonts w:ascii="Arial" w:hAnsi="Arial" w:cs="Arial"/>
          <w:lang w:eastAsia="cs-CZ"/>
        </w:rPr>
        <w:t>bytů.</w:t>
      </w:r>
    </w:p>
    <w:p w:rsidR="005D2C5A" w:rsidRDefault="005D2C5A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04339F" w:rsidRDefault="00F70EB6" w:rsidP="002830D4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Od podzimu budou moci</w:t>
      </w:r>
      <w:r w:rsidR="005D2C5A">
        <w:rPr>
          <w:rFonts w:ascii="Arial" w:hAnsi="Arial" w:cs="Arial"/>
          <w:lang w:eastAsia="cs-CZ"/>
        </w:rPr>
        <w:t xml:space="preserve"> zájemci o luxusní bydlení nově </w:t>
      </w:r>
      <w:r w:rsidR="002830D4">
        <w:rPr>
          <w:rFonts w:ascii="Arial" w:hAnsi="Arial" w:cs="Arial"/>
          <w:lang w:eastAsia="cs-CZ"/>
        </w:rPr>
        <w:t xml:space="preserve">vybírat také </w:t>
      </w:r>
      <w:r w:rsidR="005D2C5A">
        <w:rPr>
          <w:rFonts w:ascii="Arial" w:hAnsi="Arial" w:cs="Arial"/>
          <w:lang w:eastAsia="cs-CZ"/>
        </w:rPr>
        <w:t>v</w:t>
      </w:r>
      <w:r w:rsidR="002830D4">
        <w:rPr>
          <w:rFonts w:ascii="Arial" w:hAnsi="Arial" w:cs="Arial"/>
          <w:lang w:eastAsia="cs-CZ"/>
        </w:rPr>
        <w:t xml:space="preserve">e dvojici projektů, které od sebe dělí jen řeka. Zatímco </w:t>
      </w:r>
      <w:r w:rsidR="005D2C5A">
        <w:rPr>
          <w:rFonts w:ascii="Arial" w:hAnsi="Arial" w:cs="Arial"/>
          <w:lang w:eastAsia="cs-CZ"/>
        </w:rPr>
        <w:t>Rezidence Libeňské terasy přímo nad metrem Palmovka</w:t>
      </w:r>
      <w:r w:rsidR="0004339F">
        <w:rPr>
          <w:rFonts w:ascii="Arial" w:hAnsi="Arial" w:cs="Arial"/>
          <w:lang w:eastAsia="cs-CZ"/>
        </w:rPr>
        <w:t xml:space="preserve"> </w:t>
      </w:r>
      <w:r w:rsidR="002830D4">
        <w:rPr>
          <w:rFonts w:ascii="Arial" w:hAnsi="Arial" w:cs="Arial"/>
          <w:lang w:eastAsia="cs-CZ"/>
        </w:rPr>
        <w:t xml:space="preserve">se 103 byty bude </w:t>
      </w:r>
      <w:r w:rsidR="002830D4">
        <w:rPr>
          <w:rFonts w:ascii="Arial" w:hAnsi="Arial" w:cs="Arial"/>
          <w:lang w:eastAsia="cs-CZ"/>
        </w:rPr>
        <w:lastRenderedPageBreak/>
        <w:t>v listopadu již zcela dokončen</w:t>
      </w:r>
      <w:r w:rsidR="0059759C">
        <w:rPr>
          <w:rFonts w:ascii="Arial" w:hAnsi="Arial" w:cs="Arial"/>
          <w:lang w:eastAsia="cs-CZ"/>
        </w:rPr>
        <w:t>a</w:t>
      </w:r>
      <w:r w:rsidR="002830D4">
        <w:rPr>
          <w:rFonts w:ascii="Arial" w:hAnsi="Arial" w:cs="Arial"/>
          <w:lang w:eastAsia="cs-CZ"/>
        </w:rPr>
        <w:t xml:space="preserve">, </w:t>
      </w:r>
      <w:r w:rsidR="0004339F">
        <w:rPr>
          <w:rFonts w:ascii="Arial" w:hAnsi="Arial" w:cs="Arial"/>
          <w:lang w:eastAsia="cs-CZ"/>
        </w:rPr>
        <w:t>Rezidenc</w:t>
      </w:r>
      <w:r w:rsidR="002830D4">
        <w:rPr>
          <w:rFonts w:ascii="Arial" w:hAnsi="Arial" w:cs="Arial"/>
          <w:lang w:eastAsia="cs-CZ"/>
        </w:rPr>
        <w:t>e</w:t>
      </w:r>
      <w:r w:rsidR="0004339F">
        <w:rPr>
          <w:rFonts w:ascii="Arial" w:hAnsi="Arial" w:cs="Arial"/>
          <w:lang w:eastAsia="cs-CZ"/>
        </w:rPr>
        <w:t xml:space="preserve"> Nad Vltavou </w:t>
      </w:r>
      <w:r w:rsidR="002830D4">
        <w:rPr>
          <w:rFonts w:ascii="Arial" w:hAnsi="Arial" w:cs="Arial"/>
          <w:lang w:eastAsia="cs-CZ"/>
        </w:rPr>
        <w:t xml:space="preserve">naproti </w:t>
      </w:r>
      <w:r w:rsidR="0004339F">
        <w:rPr>
          <w:rFonts w:ascii="Arial" w:hAnsi="Arial" w:cs="Arial"/>
          <w:lang w:eastAsia="cs-CZ"/>
        </w:rPr>
        <w:t xml:space="preserve">v Holešovicích </w:t>
      </w:r>
      <w:r w:rsidR="002830D4">
        <w:rPr>
          <w:rFonts w:ascii="Arial" w:hAnsi="Arial" w:cs="Arial"/>
          <w:lang w:eastAsia="cs-CZ"/>
        </w:rPr>
        <w:t xml:space="preserve">se 114 byty jde do prodeje </w:t>
      </w:r>
      <w:r w:rsidR="0004339F">
        <w:rPr>
          <w:rFonts w:ascii="Arial" w:hAnsi="Arial" w:cs="Arial"/>
          <w:lang w:eastAsia="cs-CZ"/>
        </w:rPr>
        <w:t xml:space="preserve">ještě ve fázi výstavby. </w:t>
      </w:r>
      <w:r w:rsidR="002830D4">
        <w:rPr>
          <w:rFonts w:ascii="Arial" w:hAnsi="Arial" w:cs="Arial"/>
          <w:lang w:eastAsia="cs-CZ"/>
        </w:rPr>
        <w:t xml:space="preserve">Dokončena bude </w:t>
      </w:r>
      <w:r w:rsidR="00C908CA">
        <w:rPr>
          <w:rFonts w:ascii="Arial" w:hAnsi="Arial" w:cs="Arial"/>
          <w:lang w:eastAsia="cs-CZ"/>
        </w:rPr>
        <w:t>začátkem roku 2018.</w:t>
      </w:r>
    </w:p>
    <w:p w:rsidR="0059759C" w:rsidRDefault="0059759C" w:rsidP="0065030F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</w:p>
    <w:p w:rsidR="004A1CF9" w:rsidRPr="00B55313" w:rsidRDefault="00121D08" w:rsidP="0065030F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V  nabídce i nadále převažují byty středního segmentu</w:t>
      </w:r>
      <w:r w:rsidR="00A947CB">
        <w:rPr>
          <w:rFonts w:ascii="Arial" w:hAnsi="Arial" w:cs="Arial"/>
          <w:b/>
          <w:lang w:eastAsia="cs-CZ"/>
        </w:rPr>
        <w:t xml:space="preserve"> </w:t>
      </w:r>
    </w:p>
    <w:p w:rsidR="00C908CA" w:rsidRDefault="0010798A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C908CA">
        <w:rPr>
          <w:rFonts w:ascii="Arial" w:hAnsi="Arial" w:cs="Arial"/>
          <w:lang w:eastAsia="cs-CZ"/>
        </w:rPr>
        <w:t xml:space="preserve">Základem nabídky </w:t>
      </w:r>
      <w:proofErr w:type="spellStart"/>
      <w:r w:rsidRPr="00C908CA">
        <w:rPr>
          <w:rFonts w:ascii="Arial" w:hAnsi="Arial" w:cs="Arial"/>
          <w:lang w:eastAsia="cs-CZ"/>
        </w:rPr>
        <w:t>Central</w:t>
      </w:r>
      <w:proofErr w:type="spellEnd"/>
      <w:r w:rsidRPr="00C908CA">
        <w:rPr>
          <w:rFonts w:ascii="Arial" w:hAnsi="Arial" w:cs="Arial"/>
          <w:lang w:eastAsia="cs-CZ"/>
        </w:rPr>
        <w:t xml:space="preserve"> Group je ale i nadále střední segment, tedy dostupné bydlení ve velmi vysokém standardu a v kvalitních lokalitách s dobrou dopravní dostupností a </w:t>
      </w:r>
      <w:r w:rsidR="00F70EB6">
        <w:rPr>
          <w:rFonts w:ascii="Arial" w:hAnsi="Arial" w:cs="Arial"/>
          <w:lang w:eastAsia="cs-CZ"/>
        </w:rPr>
        <w:t xml:space="preserve">bohatou </w:t>
      </w:r>
      <w:r w:rsidRPr="00C908CA">
        <w:rPr>
          <w:rFonts w:ascii="Arial" w:hAnsi="Arial" w:cs="Arial"/>
          <w:lang w:eastAsia="cs-CZ"/>
        </w:rPr>
        <w:t>občanskou vybaveností.</w:t>
      </w:r>
      <w:r w:rsidRPr="0010798A">
        <w:rPr>
          <w:rFonts w:ascii="Arial" w:hAnsi="Arial" w:cs="Arial"/>
          <w:i/>
          <w:lang w:eastAsia="cs-CZ"/>
        </w:rPr>
        <w:t xml:space="preserve"> </w:t>
      </w:r>
      <w:r w:rsidR="00C908CA">
        <w:rPr>
          <w:rFonts w:ascii="Arial" w:hAnsi="Arial" w:cs="Arial"/>
          <w:i/>
          <w:lang w:eastAsia="cs-CZ"/>
        </w:rPr>
        <w:t>„</w:t>
      </w:r>
      <w:r w:rsidRPr="0010798A">
        <w:rPr>
          <w:rFonts w:ascii="Arial" w:hAnsi="Arial" w:cs="Arial"/>
          <w:i/>
          <w:lang w:eastAsia="cs-CZ"/>
        </w:rPr>
        <w:t xml:space="preserve">Ve středním segmentu </w:t>
      </w:r>
      <w:r w:rsidR="001D2550">
        <w:rPr>
          <w:rFonts w:ascii="Arial" w:hAnsi="Arial" w:cs="Arial"/>
          <w:i/>
          <w:lang w:eastAsia="cs-CZ"/>
        </w:rPr>
        <w:t xml:space="preserve">prodává </w:t>
      </w:r>
      <w:proofErr w:type="spellStart"/>
      <w:r w:rsidR="001D2550">
        <w:rPr>
          <w:rFonts w:ascii="Arial" w:hAnsi="Arial" w:cs="Arial"/>
          <w:i/>
          <w:lang w:eastAsia="cs-CZ"/>
        </w:rPr>
        <w:t>Central</w:t>
      </w:r>
      <w:proofErr w:type="spellEnd"/>
      <w:r w:rsidR="001D2550">
        <w:rPr>
          <w:rFonts w:ascii="Arial" w:hAnsi="Arial" w:cs="Arial"/>
          <w:i/>
          <w:lang w:eastAsia="cs-CZ"/>
        </w:rPr>
        <w:t xml:space="preserve"> Group</w:t>
      </w:r>
      <w:r w:rsidRPr="0010798A">
        <w:rPr>
          <w:rFonts w:ascii="Arial" w:hAnsi="Arial" w:cs="Arial"/>
          <w:i/>
          <w:lang w:eastAsia="cs-CZ"/>
        </w:rPr>
        <w:t xml:space="preserve"> asi 60 procent bytů,“</w:t>
      </w:r>
      <w:r>
        <w:rPr>
          <w:rFonts w:ascii="Arial" w:hAnsi="Arial" w:cs="Arial"/>
          <w:lang w:eastAsia="cs-CZ"/>
        </w:rPr>
        <w:t xml:space="preserve"> vysvětlil Kunovský. </w:t>
      </w:r>
    </w:p>
    <w:p w:rsidR="00C908CA" w:rsidRDefault="00C908CA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4A1CF9" w:rsidRDefault="00121D08" w:rsidP="0065030F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Pokračování se tak dočká</w:t>
      </w:r>
      <w:r w:rsidR="004A1CF9">
        <w:rPr>
          <w:rFonts w:ascii="Arial" w:hAnsi="Arial" w:cs="Arial"/>
          <w:lang w:eastAsia="cs-CZ"/>
        </w:rPr>
        <w:t xml:space="preserve"> úspěšný projekt Letňanské zahrady, kde jd</w:t>
      </w:r>
      <w:r w:rsidR="005C33CE">
        <w:rPr>
          <w:rFonts w:ascii="Arial" w:hAnsi="Arial" w:cs="Arial"/>
          <w:lang w:eastAsia="cs-CZ"/>
        </w:rPr>
        <w:t>e</w:t>
      </w:r>
      <w:r w:rsidR="004A1CF9">
        <w:rPr>
          <w:rFonts w:ascii="Arial" w:hAnsi="Arial" w:cs="Arial"/>
          <w:lang w:eastAsia="cs-CZ"/>
        </w:rPr>
        <w:t xml:space="preserve"> do prodeje </w:t>
      </w:r>
      <w:r w:rsidR="005C33CE">
        <w:rPr>
          <w:rFonts w:ascii="Arial" w:hAnsi="Arial" w:cs="Arial"/>
          <w:lang w:eastAsia="cs-CZ"/>
        </w:rPr>
        <w:t xml:space="preserve">poslední ze tří </w:t>
      </w:r>
      <w:r w:rsidR="005B5C23">
        <w:rPr>
          <w:rFonts w:ascii="Arial" w:hAnsi="Arial" w:cs="Arial"/>
          <w:lang w:eastAsia="cs-CZ"/>
        </w:rPr>
        <w:t>vyšší</w:t>
      </w:r>
      <w:r w:rsidR="005C33CE">
        <w:rPr>
          <w:rFonts w:ascii="Arial" w:hAnsi="Arial" w:cs="Arial"/>
          <w:lang w:eastAsia="cs-CZ"/>
        </w:rPr>
        <w:t>ch</w:t>
      </w:r>
      <w:r w:rsidR="005B5C23">
        <w:rPr>
          <w:rFonts w:ascii="Arial" w:hAnsi="Arial" w:cs="Arial"/>
          <w:lang w:eastAsia="cs-CZ"/>
        </w:rPr>
        <w:t xml:space="preserve"> bytov</w:t>
      </w:r>
      <w:r w:rsidR="005C33CE">
        <w:rPr>
          <w:rFonts w:ascii="Arial" w:hAnsi="Arial" w:cs="Arial"/>
          <w:lang w:eastAsia="cs-CZ"/>
        </w:rPr>
        <w:t>ých domů</w:t>
      </w:r>
      <w:r w:rsidR="005B5C23">
        <w:rPr>
          <w:rFonts w:ascii="Arial" w:hAnsi="Arial" w:cs="Arial"/>
          <w:lang w:eastAsia="cs-CZ"/>
        </w:rPr>
        <w:t xml:space="preserve"> v centru obytného souboru</w:t>
      </w:r>
      <w:r w:rsidR="004A1CF9">
        <w:rPr>
          <w:rFonts w:ascii="Arial" w:hAnsi="Arial" w:cs="Arial"/>
          <w:lang w:eastAsia="cs-CZ"/>
        </w:rPr>
        <w:t xml:space="preserve"> s</w:t>
      </w:r>
      <w:r w:rsidR="005B5C23">
        <w:rPr>
          <w:rFonts w:ascii="Arial" w:hAnsi="Arial" w:cs="Arial"/>
          <w:lang w:eastAsia="cs-CZ"/>
        </w:rPr>
        <w:t xml:space="preserve"> celkem </w:t>
      </w:r>
      <w:r w:rsidR="005C33CE">
        <w:rPr>
          <w:rFonts w:ascii="Arial" w:hAnsi="Arial" w:cs="Arial"/>
          <w:lang w:eastAsia="cs-CZ"/>
        </w:rPr>
        <w:t>87</w:t>
      </w:r>
      <w:r w:rsidR="004A1CF9">
        <w:rPr>
          <w:rFonts w:ascii="Arial" w:hAnsi="Arial" w:cs="Arial"/>
          <w:lang w:eastAsia="cs-CZ"/>
        </w:rPr>
        <w:t xml:space="preserve"> byty.</w:t>
      </w:r>
      <w:r w:rsidR="00414620">
        <w:rPr>
          <w:rFonts w:ascii="Arial" w:hAnsi="Arial" w:cs="Arial"/>
          <w:lang w:eastAsia="cs-CZ"/>
        </w:rPr>
        <w:t xml:space="preserve"> Situaci na trhu naznačuje </w:t>
      </w:r>
      <w:r w:rsidR="00FC31BA">
        <w:rPr>
          <w:rFonts w:ascii="Arial" w:hAnsi="Arial" w:cs="Arial"/>
          <w:lang w:eastAsia="cs-CZ"/>
        </w:rPr>
        <w:t xml:space="preserve">i </w:t>
      </w:r>
      <w:bookmarkStart w:id="0" w:name="_GoBack"/>
      <w:bookmarkEnd w:id="0"/>
      <w:r w:rsidR="00414620">
        <w:rPr>
          <w:rFonts w:ascii="Arial" w:hAnsi="Arial" w:cs="Arial"/>
          <w:lang w:eastAsia="cs-CZ"/>
        </w:rPr>
        <w:t xml:space="preserve">fakt, že z 87 bytů bylo </w:t>
      </w:r>
      <w:r w:rsidR="00F70EB6">
        <w:rPr>
          <w:rFonts w:ascii="Arial" w:hAnsi="Arial" w:cs="Arial"/>
          <w:lang w:eastAsia="cs-CZ"/>
        </w:rPr>
        <w:t xml:space="preserve">hned </w:t>
      </w:r>
      <w:r w:rsidR="00414620">
        <w:rPr>
          <w:rFonts w:ascii="Arial" w:hAnsi="Arial" w:cs="Arial"/>
          <w:lang w:eastAsia="cs-CZ"/>
        </w:rPr>
        <w:t>v první den</w:t>
      </w:r>
      <w:r w:rsidR="00F70EB6">
        <w:rPr>
          <w:rFonts w:ascii="Arial" w:hAnsi="Arial" w:cs="Arial"/>
          <w:lang w:eastAsia="cs-CZ"/>
        </w:rPr>
        <w:t xml:space="preserve"> poté, co nabídku obdrželi </w:t>
      </w:r>
      <w:proofErr w:type="spellStart"/>
      <w:r w:rsidR="00F70EB6">
        <w:rPr>
          <w:rFonts w:ascii="Arial" w:hAnsi="Arial" w:cs="Arial"/>
          <w:lang w:eastAsia="cs-CZ"/>
        </w:rPr>
        <w:t>předregistrovaní</w:t>
      </w:r>
      <w:proofErr w:type="spellEnd"/>
      <w:r w:rsidR="00F70EB6">
        <w:rPr>
          <w:rFonts w:ascii="Arial" w:hAnsi="Arial" w:cs="Arial"/>
          <w:lang w:eastAsia="cs-CZ"/>
        </w:rPr>
        <w:t xml:space="preserve"> zájemci,</w:t>
      </w:r>
      <w:r w:rsidR="00414620">
        <w:rPr>
          <w:rFonts w:ascii="Arial" w:hAnsi="Arial" w:cs="Arial"/>
          <w:lang w:eastAsia="cs-CZ"/>
        </w:rPr>
        <w:t xml:space="preserve"> zarezervováno </w:t>
      </w:r>
      <w:r w:rsidR="00F70EB6">
        <w:rPr>
          <w:rFonts w:ascii="Arial" w:hAnsi="Arial" w:cs="Arial"/>
          <w:lang w:eastAsia="cs-CZ"/>
        </w:rPr>
        <w:t>31</w:t>
      </w:r>
      <w:r w:rsidR="00414620">
        <w:rPr>
          <w:rFonts w:ascii="Arial" w:hAnsi="Arial" w:cs="Arial"/>
          <w:lang w:eastAsia="cs-CZ"/>
        </w:rPr>
        <w:t xml:space="preserve"> procent.</w:t>
      </w:r>
      <w:r w:rsidR="005B5C23">
        <w:rPr>
          <w:rFonts w:ascii="Arial" w:hAnsi="Arial" w:cs="Arial"/>
          <w:lang w:eastAsia="cs-CZ"/>
        </w:rPr>
        <w:t xml:space="preserve"> V současnosti již je v prodeji devět komornějších </w:t>
      </w:r>
      <w:proofErr w:type="spellStart"/>
      <w:r w:rsidR="005B5C23">
        <w:rPr>
          <w:rFonts w:ascii="Arial" w:hAnsi="Arial" w:cs="Arial"/>
          <w:lang w:eastAsia="cs-CZ"/>
        </w:rPr>
        <w:t>viladomů</w:t>
      </w:r>
      <w:proofErr w:type="spellEnd"/>
      <w:r w:rsidR="005B5C23">
        <w:rPr>
          <w:rFonts w:ascii="Arial" w:hAnsi="Arial" w:cs="Arial"/>
          <w:lang w:eastAsia="cs-CZ"/>
        </w:rPr>
        <w:t xml:space="preserve"> </w:t>
      </w:r>
      <w:r w:rsidR="005C33CE">
        <w:rPr>
          <w:rFonts w:ascii="Arial" w:hAnsi="Arial" w:cs="Arial"/>
          <w:lang w:eastAsia="cs-CZ"/>
        </w:rPr>
        <w:t xml:space="preserve">a dvě výškové budovy </w:t>
      </w:r>
      <w:r w:rsidR="005B5C23">
        <w:rPr>
          <w:rFonts w:ascii="Arial" w:hAnsi="Arial" w:cs="Arial"/>
          <w:lang w:eastAsia="cs-CZ"/>
        </w:rPr>
        <w:t xml:space="preserve">s celkem </w:t>
      </w:r>
      <w:r w:rsidR="005C33CE">
        <w:rPr>
          <w:rFonts w:ascii="Arial" w:hAnsi="Arial" w:cs="Arial"/>
          <w:lang w:eastAsia="cs-CZ"/>
        </w:rPr>
        <w:t>504</w:t>
      </w:r>
      <w:r w:rsidR="005B5C23">
        <w:rPr>
          <w:rFonts w:ascii="Arial" w:hAnsi="Arial" w:cs="Arial"/>
          <w:lang w:eastAsia="cs-CZ"/>
        </w:rPr>
        <w:t xml:space="preserve"> byty</w:t>
      </w:r>
      <w:r w:rsidR="00180DF0">
        <w:rPr>
          <w:rFonts w:ascii="Arial" w:hAnsi="Arial" w:cs="Arial"/>
          <w:lang w:eastAsia="cs-CZ"/>
        </w:rPr>
        <w:t xml:space="preserve">, </w:t>
      </w:r>
      <w:r w:rsidR="005B5C23">
        <w:rPr>
          <w:rFonts w:ascii="Arial" w:hAnsi="Arial" w:cs="Arial"/>
          <w:lang w:eastAsia="cs-CZ"/>
        </w:rPr>
        <w:t xml:space="preserve">z nichž </w:t>
      </w:r>
      <w:r w:rsidR="00F70EB6">
        <w:rPr>
          <w:rFonts w:ascii="Arial" w:hAnsi="Arial" w:cs="Arial"/>
          <w:lang w:eastAsia="cs-CZ"/>
        </w:rPr>
        <w:t>více než 80 procent</w:t>
      </w:r>
      <w:r w:rsidR="005B5C23">
        <w:rPr>
          <w:rFonts w:ascii="Arial" w:hAnsi="Arial" w:cs="Arial"/>
          <w:lang w:eastAsia="cs-CZ"/>
        </w:rPr>
        <w:t xml:space="preserve"> je již vyprodáno.</w:t>
      </w:r>
      <w:r w:rsidR="007B1C7A">
        <w:rPr>
          <w:rFonts w:ascii="Arial" w:hAnsi="Arial" w:cs="Arial"/>
          <w:lang w:eastAsia="cs-CZ"/>
        </w:rPr>
        <w:t xml:space="preserve"> </w:t>
      </w:r>
      <w:r w:rsidR="004A1CF9">
        <w:rPr>
          <w:rFonts w:ascii="Arial" w:hAnsi="Arial" w:cs="Arial"/>
          <w:lang w:eastAsia="cs-CZ"/>
        </w:rPr>
        <w:t>Na nov</w:t>
      </w:r>
      <w:r w:rsidR="005C33CE">
        <w:rPr>
          <w:rFonts w:ascii="Arial" w:hAnsi="Arial" w:cs="Arial"/>
          <w:lang w:eastAsia="cs-CZ"/>
        </w:rPr>
        <w:t>é</w:t>
      </w:r>
      <w:r w:rsidR="004A1CF9">
        <w:rPr>
          <w:rFonts w:ascii="Arial" w:hAnsi="Arial" w:cs="Arial"/>
          <w:lang w:eastAsia="cs-CZ"/>
        </w:rPr>
        <w:t xml:space="preserve"> byt</w:t>
      </w:r>
      <w:r w:rsidR="005C33CE">
        <w:rPr>
          <w:rFonts w:ascii="Arial" w:hAnsi="Arial" w:cs="Arial"/>
          <w:lang w:eastAsia="cs-CZ"/>
        </w:rPr>
        <w:t>y</w:t>
      </w:r>
      <w:r w:rsidR="004A1CF9">
        <w:rPr>
          <w:rFonts w:ascii="Arial" w:hAnsi="Arial" w:cs="Arial"/>
          <w:lang w:eastAsia="cs-CZ"/>
        </w:rPr>
        <w:t xml:space="preserve"> se mohou těšit také zájemci, které v minulosti zaujal </w:t>
      </w:r>
      <w:r w:rsidR="005C33CE">
        <w:rPr>
          <w:rFonts w:ascii="Arial" w:hAnsi="Arial" w:cs="Arial"/>
          <w:lang w:eastAsia="cs-CZ"/>
        </w:rPr>
        <w:t xml:space="preserve">největší bytový projekt Metropole na Zličíně. Do prodeje společnost od </w:t>
      </w:r>
      <w:r>
        <w:rPr>
          <w:rFonts w:ascii="Arial" w:hAnsi="Arial" w:cs="Arial"/>
          <w:lang w:eastAsia="cs-CZ"/>
        </w:rPr>
        <w:t>19. září</w:t>
      </w:r>
      <w:r w:rsidR="005C33CE">
        <w:rPr>
          <w:rFonts w:ascii="Arial" w:hAnsi="Arial" w:cs="Arial"/>
          <w:lang w:eastAsia="cs-CZ"/>
        </w:rPr>
        <w:t xml:space="preserve"> nabídne </w:t>
      </w:r>
      <w:r>
        <w:rPr>
          <w:rFonts w:ascii="Arial" w:hAnsi="Arial" w:cs="Arial"/>
          <w:lang w:eastAsia="cs-CZ"/>
        </w:rPr>
        <w:t>66</w:t>
      </w:r>
      <w:r w:rsidR="005C33CE">
        <w:rPr>
          <w:rFonts w:ascii="Arial" w:hAnsi="Arial" w:cs="Arial"/>
          <w:lang w:eastAsia="cs-CZ"/>
        </w:rPr>
        <w:t xml:space="preserve"> bytů ve třech nízkopodlažních domech</w:t>
      </w:r>
      <w:r w:rsidR="00706CFF">
        <w:rPr>
          <w:rFonts w:ascii="Arial" w:hAnsi="Arial" w:cs="Arial"/>
          <w:lang w:eastAsia="cs-CZ"/>
        </w:rPr>
        <w:t>.</w:t>
      </w:r>
      <w:r>
        <w:rPr>
          <w:rFonts w:ascii="Arial" w:hAnsi="Arial" w:cs="Arial"/>
          <w:lang w:eastAsia="cs-CZ"/>
        </w:rPr>
        <w:t xml:space="preserve"> Celkem </w:t>
      </w:r>
      <w:r w:rsidR="00F70EB6">
        <w:rPr>
          <w:rFonts w:ascii="Arial" w:hAnsi="Arial" w:cs="Arial"/>
          <w:lang w:eastAsia="cs-CZ"/>
        </w:rPr>
        <w:t xml:space="preserve">již </w:t>
      </w:r>
      <w:r>
        <w:rPr>
          <w:rFonts w:ascii="Arial" w:hAnsi="Arial" w:cs="Arial"/>
          <w:lang w:eastAsia="cs-CZ"/>
        </w:rPr>
        <w:t xml:space="preserve">v Metropoli vzniklo téměř 1800 bytů. Ten, koho zaujal projekt Nad Modřanskou roklí v Praze 4 – Kamýku, bude moci vybírat z dalších 83 bytů ve dvou bytových domech. V loňském roce zde bylo zkolaudováno 180 bytů. </w:t>
      </w:r>
    </w:p>
    <w:p w:rsidR="00744AAE" w:rsidRPr="00744AAE" w:rsidRDefault="00744AAE" w:rsidP="0065030F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3969"/>
        <w:gridCol w:w="1448"/>
      </w:tblGrid>
      <w:tr w:rsidR="00744AAE" w:rsidRPr="00744AAE" w:rsidTr="00744AAE">
        <w:tc>
          <w:tcPr>
            <w:tcW w:w="1668" w:type="dxa"/>
          </w:tcPr>
          <w:p w:rsidR="00744AAE" w:rsidRPr="00744AAE" w:rsidRDefault="00744AAE" w:rsidP="0065030F">
            <w:pPr>
              <w:spacing w:after="0"/>
              <w:contextualSpacing/>
              <w:jc w:val="both"/>
              <w:rPr>
                <w:rFonts w:ascii="Arial" w:hAnsi="Arial" w:cs="Arial"/>
                <w:b/>
                <w:lang w:eastAsia="cs-CZ"/>
              </w:rPr>
            </w:pPr>
            <w:r w:rsidRPr="00744AAE">
              <w:rPr>
                <w:rFonts w:ascii="Arial" w:hAnsi="Arial" w:cs="Arial"/>
                <w:b/>
                <w:lang w:eastAsia="cs-CZ"/>
              </w:rPr>
              <w:t>Termín</w:t>
            </w:r>
          </w:p>
        </w:tc>
        <w:tc>
          <w:tcPr>
            <w:tcW w:w="2693" w:type="dxa"/>
          </w:tcPr>
          <w:p w:rsidR="00744AAE" w:rsidRPr="00744AAE" w:rsidRDefault="00744AAE" w:rsidP="0065030F">
            <w:pPr>
              <w:spacing w:after="0"/>
              <w:contextualSpacing/>
              <w:jc w:val="both"/>
              <w:rPr>
                <w:rFonts w:ascii="Arial" w:hAnsi="Arial" w:cs="Arial"/>
                <w:b/>
                <w:lang w:eastAsia="cs-CZ"/>
              </w:rPr>
            </w:pPr>
            <w:r w:rsidRPr="00744AAE">
              <w:rPr>
                <w:rFonts w:ascii="Arial" w:hAnsi="Arial" w:cs="Arial"/>
                <w:b/>
                <w:lang w:eastAsia="cs-CZ"/>
              </w:rPr>
              <w:t>Lokalita</w:t>
            </w:r>
          </w:p>
        </w:tc>
        <w:tc>
          <w:tcPr>
            <w:tcW w:w="3969" w:type="dxa"/>
          </w:tcPr>
          <w:p w:rsidR="00744AAE" w:rsidRPr="00744AAE" w:rsidRDefault="00744AAE" w:rsidP="0065030F">
            <w:pPr>
              <w:spacing w:after="0"/>
              <w:contextualSpacing/>
              <w:jc w:val="both"/>
              <w:rPr>
                <w:rFonts w:ascii="Arial" w:hAnsi="Arial" w:cs="Arial"/>
                <w:b/>
                <w:lang w:eastAsia="cs-CZ"/>
              </w:rPr>
            </w:pPr>
            <w:r w:rsidRPr="00744AAE">
              <w:rPr>
                <w:rFonts w:ascii="Arial" w:hAnsi="Arial" w:cs="Arial"/>
                <w:b/>
                <w:lang w:eastAsia="cs-CZ"/>
              </w:rPr>
              <w:t>Název projektu</w:t>
            </w:r>
          </w:p>
        </w:tc>
        <w:tc>
          <w:tcPr>
            <w:tcW w:w="1448" w:type="dxa"/>
          </w:tcPr>
          <w:p w:rsidR="00744AAE" w:rsidRPr="00744AAE" w:rsidRDefault="00744AAE" w:rsidP="0065030F">
            <w:pPr>
              <w:spacing w:after="0"/>
              <w:contextualSpacing/>
              <w:jc w:val="both"/>
              <w:rPr>
                <w:rFonts w:ascii="Arial" w:hAnsi="Arial" w:cs="Arial"/>
                <w:b/>
                <w:lang w:eastAsia="cs-CZ"/>
              </w:rPr>
            </w:pPr>
            <w:r w:rsidRPr="00744AAE">
              <w:rPr>
                <w:rFonts w:ascii="Arial" w:hAnsi="Arial" w:cs="Arial"/>
                <w:b/>
                <w:lang w:eastAsia="cs-CZ"/>
              </w:rPr>
              <w:t>Počet bytů</w:t>
            </w:r>
          </w:p>
        </w:tc>
      </w:tr>
      <w:tr w:rsidR="005C33CE" w:rsidRPr="00744AAE" w:rsidTr="00744AAE">
        <w:tc>
          <w:tcPr>
            <w:tcW w:w="1668" w:type="dxa"/>
          </w:tcPr>
          <w:p w:rsidR="005C33CE" w:rsidRPr="00744AAE" w:rsidRDefault="005C33CE" w:rsidP="0065030F">
            <w:pPr>
              <w:spacing w:after="0"/>
              <w:contextualSpacing/>
              <w:jc w:val="both"/>
              <w:rPr>
                <w:rFonts w:ascii="Arial" w:hAnsi="Arial" w:cs="Arial"/>
                <w:b/>
                <w:lang w:eastAsia="cs-CZ"/>
              </w:rPr>
            </w:pPr>
          </w:p>
        </w:tc>
        <w:tc>
          <w:tcPr>
            <w:tcW w:w="2693" w:type="dxa"/>
          </w:tcPr>
          <w:p w:rsidR="005C33CE" w:rsidRPr="00744AAE" w:rsidRDefault="005C33CE" w:rsidP="0065030F">
            <w:pPr>
              <w:spacing w:after="0"/>
              <w:contextualSpacing/>
              <w:jc w:val="both"/>
              <w:rPr>
                <w:rFonts w:ascii="Arial" w:hAnsi="Arial" w:cs="Arial"/>
                <w:b/>
                <w:lang w:eastAsia="cs-CZ"/>
              </w:rPr>
            </w:pPr>
          </w:p>
        </w:tc>
        <w:tc>
          <w:tcPr>
            <w:tcW w:w="3969" w:type="dxa"/>
          </w:tcPr>
          <w:p w:rsidR="005C33CE" w:rsidRPr="00744AAE" w:rsidRDefault="005C33CE" w:rsidP="0065030F">
            <w:pPr>
              <w:spacing w:after="0"/>
              <w:contextualSpacing/>
              <w:jc w:val="both"/>
              <w:rPr>
                <w:rFonts w:ascii="Arial" w:hAnsi="Arial" w:cs="Arial"/>
                <w:b/>
                <w:lang w:eastAsia="cs-CZ"/>
              </w:rPr>
            </w:pPr>
          </w:p>
        </w:tc>
        <w:tc>
          <w:tcPr>
            <w:tcW w:w="1448" w:type="dxa"/>
          </w:tcPr>
          <w:p w:rsidR="005C33CE" w:rsidRPr="00744AAE" w:rsidRDefault="005C33CE" w:rsidP="0065030F">
            <w:pPr>
              <w:spacing w:after="0"/>
              <w:contextualSpacing/>
              <w:jc w:val="both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744AAE" w:rsidTr="00744AAE">
        <w:tc>
          <w:tcPr>
            <w:tcW w:w="1668" w:type="dxa"/>
          </w:tcPr>
          <w:p w:rsidR="00744AAE" w:rsidRPr="00744AAE" w:rsidRDefault="00744AAE" w:rsidP="00706CFF">
            <w:pPr>
              <w:spacing w:after="0"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 xml:space="preserve"> </w:t>
            </w:r>
            <w:r w:rsidRPr="00744AAE">
              <w:rPr>
                <w:rFonts w:ascii="Arial" w:hAnsi="Arial" w:cs="Arial"/>
                <w:lang w:eastAsia="cs-CZ"/>
              </w:rPr>
              <w:t>1.</w:t>
            </w:r>
            <w:r w:rsidR="005C33CE">
              <w:rPr>
                <w:rFonts w:ascii="Arial" w:hAnsi="Arial" w:cs="Arial"/>
                <w:lang w:eastAsia="cs-CZ"/>
              </w:rPr>
              <w:t xml:space="preserve"> 9</w:t>
            </w:r>
            <w:r>
              <w:rPr>
                <w:rFonts w:ascii="Arial" w:hAnsi="Arial" w:cs="Arial"/>
                <w:lang w:eastAsia="cs-CZ"/>
              </w:rPr>
              <w:t>. 2016</w:t>
            </w:r>
          </w:p>
        </w:tc>
        <w:tc>
          <w:tcPr>
            <w:tcW w:w="2693" w:type="dxa"/>
          </w:tcPr>
          <w:p w:rsidR="00744AAE" w:rsidRDefault="00744AAE" w:rsidP="0065030F">
            <w:pPr>
              <w:spacing w:after="0"/>
              <w:contextualSpacing/>
              <w:jc w:val="both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Praha 9 - Letňany</w:t>
            </w:r>
          </w:p>
        </w:tc>
        <w:tc>
          <w:tcPr>
            <w:tcW w:w="3969" w:type="dxa"/>
          </w:tcPr>
          <w:p w:rsidR="00744AAE" w:rsidRDefault="00744AAE" w:rsidP="00744AAE">
            <w:pPr>
              <w:spacing w:after="0"/>
              <w:contextualSpacing/>
              <w:jc w:val="both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Letňanské zahrady</w:t>
            </w:r>
            <w:r w:rsidR="005C33CE">
              <w:rPr>
                <w:rFonts w:ascii="Arial" w:hAnsi="Arial" w:cs="Arial"/>
                <w:lang w:eastAsia="cs-CZ"/>
              </w:rPr>
              <w:t xml:space="preserve"> – věž E</w:t>
            </w:r>
          </w:p>
        </w:tc>
        <w:tc>
          <w:tcPr>
            <w:tcW w:w="1448" w:type="dxa"/>
          </w:tcPr>
          <w:p w:rsidR="00744AAE" w:rsidRDefault="00F13267" w:rsidP="0065030F">
            <w:pPr>
              <w:spacing w:after="0"/>
              <w:contextualSpacing/>
              <w:jc w:val="both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87</w:t>
            </w:r>
          </w:p>
        </w:tc>
      </w:tr>
      <w:tr w:rsidR="00744AAE" w:rsidTr="00744AAE">
        <w:tc>
          <w:tcPr>
            <w:tcW w:w="1668" w:type="dxa"/>
          </w:tcPr>
          <w:p w:rsidR="00744AAE" w:rsidRDefault="005C33CE" w:rsidP="00121D08">
            <w:pPr>
              <w:spacing w:after="0"/>
              <w:contextualSpacing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1</w:t>
            </w:r>
            <w:r w:rsidR="00121D08">
              <w:rPr>
                <w:rFonts w:ascii="Arial" w:hAnsi="Arial" w:cs="Arial"/>
                <w:lang w:eastAsia="cs-CZ"/>
              </w:rPr>
              <w:t>9</w:t>
            </w:r>
            <w:r>
              <w:rPr>
                <w:rFonts w:ascii="Arial" w:hAnsi="Arial" w:cs="Arial"/>
                <w:lang w:eastAsia="cs-CZ"/>
              </w:rPr>
              <w:t>. 9. 2016</w:t>
            </w:r>
          </w:p>
        </w:tc>
        <w:tc>
          <w:tcPr>
            <w:tcW w:w="2693" w:type="dxa"/>
          </w:tcPr>
          <w:p w:rsidR="00744AAE" w:rsidRDefault="005C33CE" w:rsidP="0065030F">
            <w:pPr>
              <w:spacing w:after="0"/>
              <w:contextualSpacing/>
              <w:jc w:val="both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Praha 5 - Zličín</w:t>
            </w:r>
          </w:p>
        </w:tc>
        <w:tc>
          <w:tcPr>
            <w:tcW w:w="3969" w:type="dxa"/>
          </w:tcPr>
          <w:p w:rsidR="00744AAE" w:rsidRDefault="005C33CE" w:rsidP="0065030F">
            <w:pPr>
              <w:spacing w:after="0"/>
              <w:contextualSpacing/>
              <w:jc w:val="both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Metropole</w:t>
            </w:r>
          </w:p>
        </w:tc>
        <w:tc>
          <w:tcPr>
            <w:tcW w:w="1448" w:type="dxa"/>
          </w:tcPr>
          <w:p w:rsidR="00744AAE" w:rsidRDefault="00121D08" w:rsidP="0065030F">
            <w:pPr>
              <w:spacing w:after="0"/>
              <w:contextualSpacing/>
              <w:jc w:val="both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66</w:t>
            </w:r>
          </w:p>
        </w:tc>
      </w:tr>
      <w:tr w:rsidR="00744AAE" w:rsidTr="00744AAE">
        <w:tc>
          <w:tcPr>
            <w:tcW w:w="1668" w:type="dxa"/>
          </w:tcPr>
          <w:p w:rsidR="00744AAE" w:rsidRDefault="005C33CE" w:rsidP="00706CFF">
            <w:pPr>
              <w:spacing w:after="0"/>
              <w:contextualSpacing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1. 10. 2016</w:t>
            </w:r>
          </w:p>
        </w:tc>
        <w:tc>
          <w:tcPr>
            <w:tcW w:w="2693" w:type="dxa"/>
          </w:tcPr>
          <w:p w:rsidR="00744AAE" w:rsidRDefault="005C33CE" w:rsidP="005C33CE">
            <w:pPr>
              <w:spacing w:after="0"/>
              <w:contextualSpacing/>
              <w:jc w:val="both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Praha 4 - Kamýk</w:t>
            </w:r>
          </w:p>
        </w:tc>
        <w:tc>
          <w:tcPr>
            <w:tcW w:w="3969" w:type="dxa"/>
          </w:tcPr>
          <w:p w:rsidR="00744AAE" w:rsidRDefault="005C33CE" w:rsidP="00744AAE">
            <w:pPr>
              <w:spacing w:after="0"/>
              <w:contextualSpacing/>
              <w:jc w:val="both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Nad Modřanskou roklí II</w:t>
            </w:r>
          </w:p>
        </w:tc>
        <w:tc>
          <w:tcPr>
            <w:tcW w:w="1448" w:type="dxa"/>
          </w:tcPr>
          <w:p w:rsidR="00744AAE" w:rsidRDefault="00121D08" w:rsidP="0065030F">
            <w:pPr>
              <w:spacing w:after="0"/>
              <w:contextualSpacing/>
              <w:jc w:val="both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83</w:t>
            </w:r>
          </w:p>
        </w:tc>
      </w:tr>
      <w:tr w:rsidR="00744AAE" w:rsidTr="00744AAE">
        <w:tc>
          <w:tcPr>
            <w:tcW w:w="1668" w:type="dxa"/>
          </w:tcPr>
          <w:p w:rsidR="00744AAE" w:rsidRDefault="005C33CE" w:rsidP="00706CFF">
            <w:pPr>
              <w:spacing w:after="0"/>
              <w:contextualSpacing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1. 11. 2016</w:t>
            </w:r>
          </w:p>
        </w:tc>
        <w:tc>
          <w:tcPr>
            <w:tcW w:w="2693" w:type="dxa"/>
          </w:tcPr>
          <w:p w:rsidR="00744AAE" w:rsidRDefault="00744AAE" w:rsidP="005C33CE">
            <w:pPr>
              <w:spacing w:after="0"/>
              <w:contextualSpacing/>
              <w:jc w:val="both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 xml:space="preserve">Praha </w:t>
            </w:r>
            <w:r w:rsidR="005C33CE">
              <w:rPr>
                <w:rFonts w:ascii="Arial" w:hAnsi="Arial" w:cs="Arial"/>
                <w:lang w:eastAsia="cs-CZ"/>
              </w:rPr>
              <w:t>8 - Libeň</w:t>
            </w:r>
          </w:p>
        </w:tc>
        <w:tc>
          <w:tcPr>
            <w:tcW w:w="3969" w:type="dxa"/>
          </w:tcPr>
          <w:p w:rsidR="00744AAE" w:rsidRDefault="00F70EB6" w:rsidP="0065030F">
            <w:pPr>
              <w:spacing w:after="0"/>
              <w:contextualSpacing/>
              <w:jc w:val="both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 xml:space="preserve">Rezidence </w:t>
            </w:r>
            <w:r w:rsidR="005C33CE">
              <w:rPr>
                <w:rFonts w:ascii="Arial" w:hAnsi="Arial" w:cs="Arial"/>
                <w:lang w:eastAsia="cs-CZ"/>
              </w:rPr>
              <w:t>Libeňské terasy</w:t>
            </w:r>
          </w:p>
        </w:tc>
        <w:tc>
          <w:tcPr>
            <w:tcW w:w="1448" w:type="dxa"/>
          </w:tcPr>
          <w:p w:rsidR="00744AAE" w:rsidRDefault="00121D08" w:rsidP="0065030F">
            <w:pPr>
              <w:spacing w:after="0"/>
              <w:contextualSpacing/>
              <w:jc w:val="both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103</w:t>
            </w:r>
          </w:p>
        </w:tc>
      </w:tr>
      <w:tr w:rsidR="00D21D3C" w:rsidTr="00744AAE">
        <w:tc>
          <w:tcPr>
            <w:tcW w:w="1668" w:type="dxa"/>
          </w:tcPr>
          <w:p w:rsidR="00D21D3C" w:rsidRDefault="00D21D3C" w:rsidP="00706CFF">
            <w:pPr>
              <w:spacing w:after="0"/>
              <w:contextualSpacing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1. 11. 2016</w:t>
            </w:r>
          </w:p>
        </w:tc>
        <w:tc>
          <w:tcPr>
            <w:tcW w:w="2693" w:type="dxa"/>
          </w:tcPr>
          <w:p w:rsidR="00D21D3C" w:rsidRDefault="00D21D3C" w:rsidP="005C33CE">
            <w:pPr>
              <w:spacing w:after="0"/>
              <w:contextualSpacing/>
              <w:jc w:val="both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Praha 7 - Holešovice</w:t>
            </w:r>
          </w:p>
        </w:tc>
        <w:tc>
          <w:tcPr>
            <w:tcW w:w="3969" w:type="dxa"/>
          </w:tcPr>
          <w:p w:rsidR="00D21D3C" w:rsidRDefault="00D21D3C" w:rsidP="0065030F">
            <w:pPr>
              <w:spacing w:after="0"/>
              <w:contextualSpacing/>
              <w:jc w:val="both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Rezidence Nad Vltavou</w:t>
            </w:r>
          </w:p>
        </w:tc>
        <w:tc>
          <w:tcPr>
            <w:tcW w:w="1448" w:type="dxa"/>
          </w:tcPr>
          <w:p w:rsidR="00D21D3C" w:rsidRDefault="00D21D3C" w:rsidP="0065030F">
            <w:pPr>
              <w:spacing w:after="0"/>
              <w:contextualSpacing/>
              <w:jc w:val="both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114</w:t>
            </w:r>
          </w:p>
        </w:tc>
      </w:tr>
      <w:tr w:rsidR="005C33CE" w:rsidTr="00744AAE">
        <w:tc>
          <w:tcPr>
            <w:tcW w:w="1668" w:type="dxa"/>
          </w:tcPr>
          <w:p w:rsidR="005C33CE" w:rsidRDefault="002830D4" w:rsidP="00706CFF">
            <w:pPr>
              <w:spacing w:after="0"/>
              <w:contextualSpacing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19. 9. 2016</w:t>
            </w:r>
          </w:p>
        </w:tc>
        <w:tc>
          <w:tcPr>
            <w:tcW w:w="2693" w:type="dxa"/>
          </w:tcPr>
          <w:p w:rsidR="005C33CE" w:rsidRDefault="005C33CE" w:rsidP="00DE5CD3">
            <w:pPr>
              <w:spacing w:after="0"/>
              <w:contextualSpacing/>
              <w:jc w:val="both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 xml:space="preserve">Praha </w:t>
            </w:r>
            <w:r w:rsidR="00DE5CD3">
              <w:rPr>
                <w:rFonts w:ascii="Arial" w:hAnsi="Arial" w:cs="Arial"/>
                <w:lang w:eastAsia="cs-CZ"/>
              </w:rPr>
              <w:t>10</w:t>
            </w:r>
            <w:r>
              <w:rPr>
                <w:rFonts w:ascii="Arial" w:hAnsi="Arial" w:cs="Arial"/>
                <w:lang w:eastAsia="cs-CZ"/>
              </w:rPr>
              <w:t xml:space="preserve"> – Pitkovice </w:t>
            </w:r>
          </w:p>
        </w:tc>
        <w:tc>
          <w:tcPr>
            <w:tcW w:w="3969" w:type="dxa"/>
          </w:tcPr>
          <w:p w:rsidR="005C33CE" w:rsidRDefault="005C33CE" w:rsidP="005C33CE">
            <w:pPr>
              <w:spacing w:after="0"/>
              <w:contextualSpacing/>
              <w:jc w:val="both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 xml:space="preserve">RD </w:t>
            </w:r>
            <w:proofErr w:type="spellStart"/>
            <w:r>
              <w:rPr>
                <w:rFonts w:ascii="Arial" w:hAnsi="Arial" w:cs="Arial"/>
                <w:lang w:eastAsia="cs-CZ"/>
              </w:rPr>
              <w:t>Májovková</w:t>
            </w:r>
            <w:proofErr w:type="spellEnd"/>
          </w:p>
        </w:tc>
        <w:tc>
          <w:tcPr>
            <w:tcW w:w="1448" w:type="dxa"/>
          </w:tcPr>
          <w:p w:rsidR="005C33CE" w:rsidRDefault="00121D08" w:rsidP="0065030F">
            <w:pPr>
              <w:spacing w:after="0"/>
              <w:contextualSpacing/>
              <w:jc w:val="both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8</w:t>
            </w:r>
          </w:p>
        </w:tc>
      </w:tr>
    </w:tbl>
    <w:p w:rsidR="0012325C" w:rsidRDefault="0012325C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706CFF" w:rsidRDefault="00706CFF" w:rsidP="00E3524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7B1C7A" w:rsidRDefault="007B1C7A" w:rsidP="00E3524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524D" w:rsidRDefault="00E3524D" w:rsidP="00E3524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nás můžete kontaktovat na e-mail: </w:t>
      </w:r>
      <w:hyperlink r:id="rId9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 Marcela Fialková – tisková mluvčí (+420 724 090 754), která může také zprostředkovat jednání s vedoucími pracovníky </w:t>
      </w:r>
      <w:proofErr w:type="spellStart"/>
      <w:r>
        <w:rPr>
          <w:rFonts w:ascii="Arial" w:hAnsi="Arial" w:cs="Arial"/>
          <w:color w:val="000000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Group nebo jejich vyjádření. </w:t>
      </w:r>
      <w:r>
        <w:rPr>
          <w:rFonts w:ascii="Arial" w:hAnsi="Arial" w:cs="Arial"/>
          <w:sz w:val="16"/>
          <w:szCs w:val="16"/>
          <w:lang w:eastAsia="cs-CZ"/>
        </w:rPr>
        <w:t xml:space="preserve">Podrobné informace o společnosti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a její nabídce naleznete na </w:t>
      </w:r>
      <w:hyperlink r:id="rId10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www.central-group.cz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1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Pro média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2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O</w:t>
        </w:r>
      </w:hyperlink>
      <w:r>
        <w:rPr>
          <w:rStyle w:val="Hypertextovodkaz"/>
          <w:rFonts w:ascii="Arial" w:hAnsi="Arial" w:cs="Arial"/>
          <w:sz w:val="16"/>
          <w:szCs w:val="16"/>
          <w:lang w:eastAsia="cs-CZ"/>
        </w:rPr>
        <w:t xml:space="preserve"> společnosti</w:t>
      </w:r>
      <w:r>
        <w:rPr>
          <w:rFonts w:ascii="Arial" w:hAnsi="Arial" w:cs="Arial"/>
          <w:sz w:val="16"/>
          <w:szCs w:val="16"/>
          <w:lang w:eastAsia="cs-CZ"/>
        </w:rPr>
        <w:t>.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3524D" w:rsidRDefault="00E3524D" w:rsidP="00E3524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je jednoznačně největším rezidenčním developerem a investorem nové bytové výstavby v České republice. Potvrzuje to i statistika prestižního mezinárodního magazínu CIJ (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>), který firmu zařadil mezi desítku největších rezidenčních developerů ve střední a východní Evropě. Za 2</w:t>
      </w:r>
      <w:r w:rsidR="00835314">
        <w:rPr>
          <w:rFonts w:ascii="Arial" w:hAnsi="Arial" w:cs="Arial"/>
          <w:sz w:val="16"/>
          <w:szCs w:val="16"/>
          <w:lang w:eastAsia="cs-CZ"/>
        </w:rPr>
        <w:t>2</w:t>
      </w:r>
      <w:r>
        <w:rPr>
          <w:rFonts w:ascii="Arial" w:hAnsi="Arial" w:cs="Arial"/>
          <w:sz w:val="16"/>
          <w:szCs w:val="16"/>
          <w:lang w:eastAsia="cs-CZ"/>
        </w:rPr>
        <w:t xml:space="preserve"> let svého působení firma dokončila již více než 1</w:t>
      </w:r>
      <w:r w:rsidR="002D61ED">
        <w:rPr>
          <w:rFonts w:ascii="Arial" w:hAnsi="Arial" w:cs="Arial"/>
          <w:sz w:val="16"/>
          <w:szCs w:val="16"/>
          <w:lang w:eastAsia="cs-CZ"/>
        </w:rPr>
        <w:t>40</w:t>
      </w:r>
      <w:r>
        <w:rPr>
          <w:rFonts w:ascii="Arial" w:hAnsi="Arial" w:cs="Arial"/>
          <w:sz w:val="16"/>
          <w:szCs w:val="16"/>
          <w:lang w:eastAsia="cs-CZ"/>
        </w:rPr>
        <w:t xml:space="preserve"> rezidenčních projektů a prodala více než 12.000 nových bytů, domů a parcel. Na všechny své byty a rodinné domy poskytuje Garanci nejlepší ceny. To znamená, že pokud někdo najde srovnatelnou nemovitost s lepší cenou oproti nabídce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Group, firma cenu dorovná a ještě přidá bonus ve výši 100.000 Kč.</w:t>
      </w:r>
    </w:p>
    <w:p w:rsidR="00E3524D" w:rsidRDefault="00E3524D" w:rsidP="00E3524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  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Společnost dlouhodobě vykazuje stabilní zisk, rostoucí podíl na trhu a pro svou činnost nepotřebuje žádný bankovní úvěr. Za dobu svého působení koncern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>
        <w:rPr>
          <w:rFonts w:ascii="Arial" w:hAnsi="Arial" w:cs="Arial"/>
          <w:sz w:val="16"/>
          <w:szCs w:val="16"/>
          <w:lang w:eastAsia="cs-CZ"/>
        </w:rPr>
        <w:t xml:space="preserve">7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E3524D" w:rsidRDefault="00E3524D" w:rsidP="00E3524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53FF6" w:rsidRDefault="00A17A92" w:rsidP="001E56BE">
      <w:pPr>
        <w:spacing w:after="0" w:line="240" w:lineRule="auto"/>
        <w:jc w:val="both"/>
        <w:rPr>
          <w:rFonts w:ascii="Arial" w:hAnsi="Arial" w:cs="Arial"/>
          <w:lang w:eastAsia="cs-CZ"/>
        </w:rPr>
      </w:pPr>
      <w:proofErr w:type="spellStart"/>
      <w:r>
        <w:rPr>
          <w:rFonts w:ascii="Arial" w:hAnsi="Arial" w:cs="Arial"/>
          <w:sz w:val="16"/>
          <w:szCs w:val="16"/>
        </w:rPr>
        <w:t>Cent</w:t>
      </w:r>
      <w:r w:rsidR="00E3524D">
        <w:rPr>
          <w:rFonts w:ascii="Arial" w:hAnsi="Arial" w:cs="Arial"/>
          <w:sz w:val="16"/>
          <w:szCs w:val="16"/>
        </w:rPr>
        <w:t>ral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Group je nejen největším českým prodejcem nových bytů a domů, ale také nejaktivnějším investorem v rámci akvizic nových pozemků pro rezidenční výstavbu. V současné době má nakoupené a připravené pozemky pro více než 15.000 nových bytů a rodinných domů. Ty plánuje zařadit do prodeje v průběhu příštích </w:t>
      </w:r>
      <w:r w:rsidR="00145D58">
        <w:rPr>
          <w:rFonts w:ascii="Arial" w:hAnsi="Arial" w:cs="Arial"/>
          <w:sz w:val="16"/>
          <w:szCs w:val="16"/>
        </w:rPr>
        <w:t>deseti</w:t>
      </w:r>
      <w:r w:rsidR="00E3524D">
        <w:rPr>
          <w:rFonts w:ascii="Arial" w:hAnsi="Arial" w:cs="Arial"/>
          <w:sz w:val="16"/>
          <w:szCs w:val="16"/>
        </w:rPr>
        <w:t xml:space="preserve"> let. </w:t>
      </w:r>
      <w:proofErr w:type="spellStart"/>
      <w:r w:rsidR="00E3524D">
        <w:rPr>
          <w:rFonts w:ascii="Arial" w:hAnsi="Arial" w:cs="Arial"/>
          <w:sz w:val="16"/>
          <w:szCs w:val="16"/>
        </w:rPr>
        <w:t>Central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Group nadále intenzivně hledá a nakupuje další pozemky a </w:t>
      </w:r>
      <w:proofErr w:type="spellStart"/>
      <w:r w:rsidR="00E3524D">
        <w:rPr>
          <w:rFonts w:ascii="Arial" w:hAnsi="Arial" w:cs="Arial"/>
          <w:sz w:val="16"/>
          <w:szCs w:val="16"/>
        </w:rPr>
        <w:t>brownfieldy</w:t>
      </w:r>
      <w:proofErr w:type="spellEnd"/>
      <w:r w:rsidR="00E3524D">
        <w:rPr>
          <w:rFonts w:ascii="Arial" w:hAnsi="Arial" w:cs="Arial"/>
          <w:sz w:val="16"/>
          <w:szCs w:val="16"/>
        </w:rPr>
        <w:t xml:space="preserve"> v Praze pro výstavbu nových bytů a domů.   </w:t>
      </w:r>
    </w:p>
    <w:sectPr w:rsidR="00053FF6" w:rsidSect="00EB64B6">
      <w:headerReference w:type="default" r:id="rId13"/>
      <w:pgSz w:w="11906" w:h="16838"/>
      <w:pgMar w:top="26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8E2" w:rsidRDefault="003518E2" w:rsidP="00655B14">
      <w:pPr>
        <w:spacing w:after="0" w:line="240" w:lineRule="auto"/>
      </w:pPr>
      <w:r>
        <w:separator/>
      </w:r>
    </w:p>
  </w:endnote>
  <w:endnote w:type="continuationSeparator" w:id="0">
    <w:p w:rsidR="003518E2" w:rsidRDefault="003518E2" w:rsidP="006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8E2" w:rsidRDefault="003518E2" w:rsidP="00655B14">
      <w:pPr>
        <w:spacing w:after="0" w:line="240" w:lineRule="auto"/>
      </w:pPr>
      <w:r>
        <w:separator/>
      </w:r>
    </w:p>
  </w:footnote>
  <w:footnote w:type="continuationSeparator" w:id="0">
    <w:p w:rsidR="003518E2" w:rsidRDefault="003518E2" w:rsidP="0065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14" w:rsidRPr="00D763B7" w:rsidRDefault="00655B14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noProof/>
        <w:sz w:val="30"/>
        <w:szCs w:val="30"/>
        <w:lang w:eastAsia="cs-CZ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4E8FE32D" wp14:editId="010B1E7A">
              <wp:simplePos x="0" y="0"/>
              <wp:positionH relativeFrom="column">
                <wp:posOffset>-635</wp:posOffset>
              </wp:positionH>
              <wp:positionV relativeFrom="paragraph">
                <wp:posOffset>292099</wp:posOffset>
              </wp:positionV>
              <wp:extent cx="4547870" cy="0"/>
              <wp:effectExtent l="0" t="0" r="2413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02F95B6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05pt;margin-top:23pt;width:358.1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"/>
          </w:pict>
        </mc:Fallback>
      </mc:AlternateContent>
    </w:r>
    <w:r w:rsidRPr="00D763B7">
      <w:rPr>
        <w:rFonts w:ascii="Arial" w:hAnsi="Arial" w:cs="Arial"/>
        <w:b/>
        <w:noProof/>
        <w:sz w:val="30"/>
        <w:szCs w:val="30"/>
        <w:lang w:eastAsia="cs-CZ"/>
      </w:rPr>
      <w:drawing>
        <wp:anchor distT="0" distB="0" distL="114300" distR="114300" simplePos="0" relativeHeight="251663360" behindDoc="1" locked="0" layoutInCell="1" allowOverlap="1" wp14:anchorId="229CDBBB" wp14:editId="76A64B41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458595" cy="1398270"/>
          <wp:effectExtent l="0" t="0" r="8255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17365D"/>
        <w:sz w:val="30"/>
        <w:szCs w:val="30"/>
      </w:rPr>
      <w:t>TISKOVÁ ZPRÁVA</w:t>
    </w:r>
    <w:r w:rsidRPr="00D763B7">
      <w:rPr>
        <w:color w:val="17365D"/>
        <w:sz w:val="30"/>
        <w:szCs w:val="30"/>
      </w:rPr>
      <w:tab/>
    </w:r>
  </w:p>
  <w:p w:rsidR="00655B14" w:rsidRPr="00D763B7" w:rsidRDefault="00414620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color w:val="17365D"/>
        <w:sz w:val="30"/>
        <w:szCs w:val="30"/>
      </w:rPr>
      <w:t>3</w:t>
    </w:r>
    <w:r w:rsidR="00EB5042">
      <w:rPr>
        <w:color w:val="17365D"/>
        <w:sz w:val="30"/>
        <w:szCs w:val="30"/>
      </w:rPr>
      <w:t>1</w:t>
    </w:r>
    <w:r w:rsidR="00633318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>
      <w:rPr>
        <w:color w:val="17365D"/>
        <w:sz w:val="30"/>
        <w:szCs w:val="30"/>
      </w:rPr>
      <w:t>8</w:t>
    </w:r>
    <w:r w:rsidR="00655B14">
      <w:rPr>
        <w:color w:val="17365D"/>
        <w:sz w:val="30"/>
        <w:szCs w:val="30"/>
      </w:rPr>
      <w:t>.</w:t>
    </w:r>
    <w:r w:rsidR="00827C89">
      <w:rPr>
        <w:color w:val="17365D"/>
        <w:sz w:val="30"/>
        <w:szCs w:val="30"/>
      </w:rPr>
      <w:t xml:space="preserve"> </w:t>
    </w:r>
    <w:r w:rsidR="00655B14">
      <w:rPr>
        <w:color w:val="17365D"/>
        <w:sz w:val="30"/>
        <w:szCs w:val="30"/>
      </w:rPr>
      <w:t>201</w:t>
    </w:r>
    <w:r w:rsidR="00AB4EEC">
      <w:rPr>
        <w:color w:val="17365D"/>
        <w:sz w:val="30"/>
        <w:szCs w:val="30"/>
      </w:rPr>
      <w:t>6</w:t>
    </w:r>
  </w:p>
  <w:p w:rsidR="00655B14" w:rsidRPr="00E25B7E" w:rsidRDefault="00655B14" w:rsidP="00655B14">
    <w:pPr>
      <w:spacing w:after="0"/>
      <w:rPr>
        <w:rFonts w:ascii="Arial Black" w:hAnsi="Arial Black" w:cs="Arial"/>
        <w:b/>
        <w:sz w:val="28"/>
        <w:szCs w:val="28"/>
      </w:rPr>
    </w:pPr>
  </w:p>
  <w:p w:rsidR="00655B14" w:rsidRDefault="00655B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742F"/>
    <w:multiLevelType w:val="hybridMultilevel"/>
    <w:tmpl w:val="6180D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E19F6"/>
    <w:multiLevelType w:val="hybridMultilevel"/>
    <w:tmpl w:val="D20EE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E418E"/>
    <w:multiLevelType w:val="hybridMultilevel"/>
    <w:tmpl w:val="46CA3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6"/>
    <w:rsid w:val="0000345B"/>
    <w:rsid w:val="0000781F"/>
    <w:rsid w:val="0002312D"/>
    <w:rsid w:val="00024764"/>
    <w:rsid w:val="000266CE"/>
    <w:rsid w:val="000267C4"/>
    <w:rsid w:val="0002687F"/>
    <w:rsid w:val="000310FA"/>
    <w:rsid w:val="0003162C"/>
    <w:rsid w:val="000336D2"/>
    <w:rsid w:val="00034F4A"/>
    <w:rsid w:val="00036B56"/>
    <w:rsid w:val="00036D72"/>
    <w:rsid w:val="00042A08"/>
    <w:rsid w:val="0004339F"/>
    <w:rsid w:val="000449DD"/>
    <w:rsid w:val="00047F3F"/>
    <w:rsid w:val="00051163"/>
    <w:rsid w:val="000512A9"/>
    <w:rsid w:val="00053FF6"/>
    <w:rsid w:val="00057673"/>
    <w:rsid w:val="000702CA"/>
    <w:rsid w:val="0007119F"/>
    <w:rsid w:val="0007250E"/>
    <w:rsid w:val="00075196"/>
    <w:rsid w:val="00075EC3"/>
    <w:rsid w:val="000778E1"/>
    <w:rsid w:val="00083452"/>
    <w:rsid w:val="00083BA8"/>
    <w:rsid w:val="0008492F"/>
    <w:rsid w:val="0008540C"/>
    <w:rsid w:val="00085F81"/>
    <w:rsid w:val="000865A5"/>
    <w:rsid w:val="00091E8A"/>
    <w:rsid w:val="000A0381"/>
    <w:rsid w:val="000A2C12"/>
    <w:rsid w:val="000A555C"/>
    <w:rsid w:val="000B1F3B"/>
    <w:rsid w:val="000C093A"/>
    <w:rsid w:val="000C111A"/>
    <w:rsid w:val="000C1853"/>
    <w:rsid w:val="000C392E"/>
    <w:rsid w:val="000C61A9"/>
    <w:rsid w:val="000D0B58"/>
    <w:rsid w:val="000D2CE8"/>
    <w:rsid w:val="000D3DC9"/>
    <w:rsid w:val="000D67EC"/>
    <w:rsid w:val="000D6F5E"/>
    <w:rsid w:val="000D7AAD"/>
    <w:rsid w:val="000F76D9"/>
    <w:rsid w:val="0010798A"/>
    <w:rsid w:val="0011263C"/>
    <w:rsid w:val="00121D08"/>
    <w:rsid w:val="0012325C"/>
    <w:rsid w:val="001254FE"/>
    <w:rsid w:val="00126B39"/>
    <w:rsid w:val="00134324"/>
    <w:rsid w:val="00136B59"/>
    <w:rsid w:val="00136DD9"/>
    <w:rsid w:val="001374C1"/>
    <w:rsid w:val="0014189D"/>
    <w:rsid w:val="00145D58"/>
    <w:rsid w:val="00147D32"/>
    <w:rsid w:val="0015386E"/>
    <w:rsid w:val="00154E05"/>
    <w:rsid w:val="00155FBC"/>
    <w:rsid w:val="00160996"/>
    <w:rsid w:val="00167091"/>
    <w:rsid w:val="00167393"/>
    <w:rsid w:val="00167EA3"/>
    <w:rsid w:val="001709D1"/>
    <w:rsid w:val="00175BC6"/>
    <w:rsid w:val="00176DB2"/>
    <w:rsid w:val="00180DF0"/>
    <w:rsid w:val="00181963"/>
    <w:rsid w:val="00182A74"/>
    <w:rsid w:val="00182F69"/>
    <w:rsid w:val="001837BC"/>
    <w:rsid w:val="001839E1"/>
    <w:rsid w:val="00184AA4"/>
    <w:rsid w:val="001947DA"/>
    <w:rsid w:val="001975BF"/>
    <w:rsid w:val="001A0918"/>
    <w:rsid w:val="001A0E14"/>
    <w:rsid w:val="001A60F5"/>
    <w:rsid w:val="001A6619"/>
    <w:rsid w:val="001B6C34"/>
    <w:rsid w:val="001B7101"/>
    <w:rsid w:val="001B7358"/>
    <w:rsid w:val="001C66CF"/>
    <w:rsid w:val="001C67C0"/>
    <w:rsid w:val="001C6D66"/>
    <w:rsid w:val="001D2550"/>
    <w:rsid w:val="001D35BC"/>
    <w:rsid w:val="001D41E4"/>
    <w:rsid w:val="001D7759"/>
    <w:rsid w:val="001E14EF"/>
    <w:rsid w:val="001E1516"/>
    <w:rsid w:val="001E15A7"/>
    <w:rsid w:val="001E1A62"/>
    <w:rsid w:val="001E56BE"/>
    <w:rsid w:val="001E5C33"/>
    <w:rsid w:val="001F0C11"/>
    <w:rsid w:val="001F3B75"/>
    <w:rsid w:val="001F5AAF"/>
    <w:rsid w:val="001F5F25"/>
    <w:rsid w:val="001F75D0"/>
    <w:rsid w:val="001F7B64"/>
    <w:rsid w:val="002024C8"/>
    <w:rsid w:val="002039FC"/>
    <w:rsid w:val="0021271C"/>
    <w:rsid w:val="00214B9A"/>
    <w:rsid w:val="0022029B"/>
    <w:rsid w:val="00234852"/>
    <w:rsid w:val="002442D9"/>
    <w:rsid w:val="00244FB9"/>
    <w:rsid w:val="00253B9A"/>
    <w:rsid w:val="002543C3"/>
    <w:rsid w:val="00255584"/>
    <w:rsid w:val="00261752"/>
    <w:rsid w:val="00265E94"/>
    <w:rsid w:val="002769EC"/>
    <w:rsid w:val="002802F5"/>
    <w:rsid w:val="00282554"/>
    <w:rsid w:val="002830D4"/>
    <w:rsid w:val="00283463"/>
    <w:rsid w:val="0028544B"/>
    <w:rsid w:val="002A09C6"/>
    <w:rsid w:val="002A1D9E"/>
    <w:rsid w:val="002A355F"/>
    <w:rsid w:val="002A5494"/>
    <w:rsid w:val="002B22EC"/>
    <w:rsid w:val="002B2E77"/>
    <w:rsid w:val="002B34A2"/>
    <w:rsid w:val="002C100F"/>
    <w:rsid w:val="002C4DCA"/>
    <w:rsid w:val="002C53C3"/>
    <w:rsid w:val="002C5688"/>
    <w:rsid w:val="002D082D"/>
    <w:rsid w:val="002D2EE1"/>
    <w:rsid w:val="002D61ED"/>
    <w:rsid w:val="002E04AA"/>
    <w:rsid w:val="002E128D"/>
    <w:rsid w:val="002E69D8"/>
    <w:rsid w:val="002E7954"/>
    <w:rsid w:val="002E7D8B"/>
    <w:rsid w:val="002F02F6"/>
    <w:rsid w:val="002F3BBF"/>
    <w:rsid w:val="002F3C78"/>
    <w:rsid w:val="002F696E"/>
    <w:rsid w:val="00310056"/>
    <w:rsid w:val="003115D8"/>
    <w:rsid w:val="0031568A"/>
    <w:rsid w:val="00316A88"/>
    <w:rsid w:val="00320B75"/>
    <w:rsid w:val="00333809"/>
    <w:rsid w:val="003366AE"/>
    <w:rsid w:val="00343FF8"/>
    <w:rsid w:val="00344915"/>
    <w:rsid w:val="003518E2"/>
    <w:rsid w:val="00354906"/>
    <w:rsid w:val="00356DEF"/>
    <w:rsid w:val="003629D5"/>
    <w:rsid w:val="00364E18"/>
    <w:rsid w:val="0036643F"/>
    <w:rsid w:val="0036769C"/>
    <w:rsid w:val="003722A2"/>
    <w:rsid w:val="00377C0F"/>
    <w:rsid w:val="00380E96"/>
    <w:rsid w:val="0038164F"/>
    <w:rsid w:val="00390D9B"/>
    <w:rsid w:val="00393588"/>
    <w:rsid w:val="003973E3"/>
    <w:rsid w:val="003975FB"/>
    <w:rsid w:val="003A4846"/>
    <w:rsid w:val="003A4E1B"/>
    <w:rsid w:val="003A74FB"/>
    <w:rsid w:val="003B0B39"/>
    <w:rsid w:val="003B20BE"/>
    <w:rsid w:val="003B2626"/>
    <w:rsid w:val="003B669D"/>
    <w:rsid w:val="003C4264"/>
    <w:rsid w:val="003E1A52"/>
    <w:rsid w:val="003E25B5"/>
    <w:rsid w:val="003E3DDE"/>
    <w:rsid w:val="003E3EEE"/>
    <w:rsid w:val="003E4FDA"/>
    <w:rsid w:val="003E5DEB"/>
    <w:rsid w:val="003F1BE3"/>
    <w:rsid w:val="003F4A3F"/>
    <w:rsid w:val="00404AE7"/>
    <w:rsid w:val="004065D6"/>
    <w:rsid w:val="00407D1B"/>
    <w:rsid w:val="0041092C"/>
    <w:rsid w:val="00411ECF"/>
    <w:rsid w:val="00414620"/>
    <w:rsid w:val="00415AF5"/>
    <w:rsid w:val="00416096"/>
    <w:rsid w:val="0042143D"/>
    <w:rsid w:val="00423B06"/>
    <w:rsid w:val="00425B70"/>
    <w:rsid w:val="004267CA"/>
    <w:rsid w:val="004269C0"/>
    <w:rsid w:val="0043290F"/>
    <w:rsid w:val="0045189F"/>
    <w:rsid w:val="00457B53"/>
    <w:rsid w:val="00463C79"/>
    <w:rsid w:val="004669A9"/>
    <w:rsid w:val="00470BAB"/>
    <w:rsid w:val="00474F5D"/>
    <w:rsid w:val="004755AC"/>
    <w:rsid w:val="00483217"/>
    <w:rsid w:val="00487B16"/>
    <w:rsid w:val="00490A3A"/>
    <w:rsid w:val="00490FEF"/>
    <w:rsid w:val="00491B22"/>
    <w:rsid w:val="00494878"/>
    <w:rsid w:val="004952C9"/>
    <w:rsid w:val="0049638C"/>
    <w:rsid w:val="00496B6A"/>
    <w:rsid w:val="004A1CF9"/>
    <w:rsid w:val="004B31B4"/>
    <w:rsid w:val="004B7B91"/>
    <w:rsid w:val="004C0A81"/>
    <w:rsid w:val="004C68D5"/>
    <w:rsid w:val="004D14BF"/>
    <w:rsid w:val="004D230C"/>
    <w:rsid w:val="004D2488"/>
    <w:rsid w:val="004D3EFE"/>
    <w:rsid w:val="004D6F71"/>
    <w:rsid w:val="004D718C"/>
    <w:rsid w:val="004E48FD"/>
    <w:rsid w:val="004E53EE"/>
    <w:rsid w:val="004F4589"/>
    <w:rsid w:val="0050068F"/>
    <w:rsid w:val="005063E2"/>
    <w:rsid w:val="00506D83"/>
    <w:rsid w:val="00506E60"/>
    <w:rsid w:val="00516528"/>
    <w:rsid w:val="005207A4"/>
    <w:rsid w:val="005226E6"/>
    <w:rsid w:val="00522A3F"/>
    <w:rsid w:val="00525388"/>
    <w:rsid w:val="00525770"/>
    <w:rsid w:val="00526B27"/>
    <w:rsid w:val="00532D97"/>
    <w:rsid w:val="00534219"/>
    <w:rsid w:val="00536342"/>
    <w:rsid w:val="005405D8"/>
    <w:rsid w:val="00542901"/>
    <w:rsid w:val="00542996"/>
    <w:rsid w:val="00543480"/>
    <w:rsid w:val="00543E13"/>
    <w:rsid w:val="00560668"/>
    <w:rsid w:val="00563B73"/>
    <w:rsid w:val="00564E82"/>
    <w:rsid w:val="00567B05"/>
    <w:rsid w:val="00567FCC"/>
    <w:rsid w:val="00573A57"/>
    <w:rsid w:val="00574AB5"/>
    <w:rsid w:val="00575350"/>
    <w:rsid w:val="00575AC0"/>
    <w:rsid w:val="00575DE9"/>
    <w:rsid w:val="00582D61"/>
    <w:rsid w:val="0059759C"/>
    <w:rsid w:val="005A0735"/>
    <w:rsid w:val="005A1046"/>
    <w:rsid w:val="005A33B1"/>
    <w:rsid w:val="005A41FB"/>
    <w:rsid w:val="005A6A33"/>
    <w:rsid w:val="005B5C23"/>
    <w:rsid w:val="005B681C"/>
    <w:rsid w:val="005C33CE"/>
    <w:rsid w:val="005C710A"/>
    <w:rsid w:val="005D2C5A"/>
    <w:rsid w:val="005E2124"/>
    <w:rsid w:val="005F5002"/>
    <w:rsid w:val="005F730C"/>
    <w:rsid w:val="00605851"/>
    <w:rsid w:val="00605F5F"/>
    <w:rsid w:val="006113F4"/>
    <w:rsid w:val="00612999"/>
    <w:rsid w:val="00612D3F"/>
    <w:rsid w:val="00612F63"/>
    <w:rsid w:val="00613CA5"/>
    <w:rsid w:val="00613DF6"/>
    <w:rsid w:val="00613E4C"/>
    <w:rsid w:val="006148ED"/>
    <w:rsid w:val="00615AC2"/>
    <w:rsid w:val="00617D67"/>
    <w:rsid w:val="00621B9E"/>
    <w:rsid w:val="0062361C"/>
    <w:rsid w:val="00623642"/>
    <w:rsid w:val="00623B37"/>
    <w:rsid w:val="00624443"/>
    <w:rsid w:val="006278BF"/>
    <w:rsid w:val="0063062D"/>
    <w:rsid w:val="006331B3"/>
    <w:rsid w:val="00633318"/>
    <w:rsid w:val="006362FC"/>
    <w:rsid w:val="006474BF"/>
    <w:rsid w:val="0065030F"/>
    <w:rsid w:val="00650B15"/>
    <w:rsid w:val="00651991"/>
    <w:rsid w:val="00654307"/>
    <w:rsid w:val="00654F88"/>
    <w:rsid w:val="00655B14"/>
    <w:rsid w:val="00661906"/>
    <w:rsid w:val="00663DF4"/>
    <w:rsid w:val="006650D5"/>
    <w:rsid w:val="00670D2D"/>
    <w:rsid w:val="006832C4"/>
    <w:rsid w:val="00686D43"/>
    <w:rsid w:val="006927C2"/>
    <w:rsid w:val="006934FA"/>
    <w:rsid w:val="00693888"/>
    <w:rsid w:val="006A0D19"/>
    <w:rsid w:val="006A2453"/>
    <w:rsid w:val="006A447A"/>
    <w:rsid w:val="006A5D80"/>
    <w:rsid w:val="006B1D92"/>
    <w:rsid w:val="006B3A10"/>
    <w:rsid w:val="006B4962"/>
    <w:rsid w:val="006B5D5E"/>
    <w:rsid w:val="006C2B65"/>
    <w:rsid w:val="006C4C61"/>
    <w:rsid w:val="006C522D"/>
    <w:rsid w:val="006C6EA1"/>
    <w:rsid w:val="006D0799"/>
    <w:rsid w:val="006D0916"/>
    <w:rsid w:val="006D0F03"/>
    <w:rsid w:val="006D252D"/>
    <w:rsid w:val="006D3EB8"/>
    <w:rsid w:val="006D42D0"/>
    <w:rsid w:val="006D4ABB"/>
    <w:rsid w:val="006E3D61"/>
    <w:rsid w:val="006E6B4E"/>
    <w:rsid w:val="006E7A97"/>
    <w:rsid w:val="006F1257"/>
    <w:rsid w:val="00700072"/>
    <w:rsid w:val="007012BA"/>
    <w:rsid w:val="00702863"/>
    <w:rsid w:val="00705B5F"/>
    <w:rsid w:val="00705BC3"/>
    <w:rsid w:val="00705DA4"/>
    <w:rsid w:val="00706CFF"/>
    <w:rsid w:val="00707522"/>
    <w:rsid w:val="00710A01"/>
    <w:rsid w:val="00712980"/>
    <w:rsid w:val="00713ABB"/>
    <w:rsid w:val="00713F01"/>
    <w:rsid w:val="007143C3"/>
    <w:rsid w:val="0071453E"/>
    <w:rsid w:val="00716A16"/>
    <w:rsid w:val="007173A6"/>
    <w:rsid w:val="007235A6"/>
    <w:rsid w:val="0072485F"/>
    <w:rsid w:val="0073295D"/>
    <w:rsid w:val="00740D42"/>
    <w:rsid w:val="00742739"/>
    <w:rsid w:val="00744AAE"/>
    <w:rsid w:val="00744F4A"/>
    <w:rsid w:val="007463F6"/>
    <w:rsid w:val="00751B24"/>
    <w:rsid w:val="00751CDA"/>
    <w:rsid w:val="0075276B"/>
    <w:rsid w:val="00755EC0"/>
    <w:rsid w:val="0075632D"/>
    <w:rsid w:val="0076032C"/>
    <w:rsid w:val="00761239"/>
    <w:rsid w:val="00762126"/>
    <w:rsid w:val="00766721"/>
    <w:rsid w:val="00781099"/>
    <w:rsid w:val="007832C3"/>
    <w:rsid w:val="0078361B"/>
    <w:rsid w:val="007842B4"/>
    <w:rsid w:val="007871D4"/>
    <w:rsid w:val="00787594"/>
    <w:rsid w:val="00790072"/>
    <w:rsid w:val="00796713"/>
    <w:rsid w:val="00796CBD"/>
    <w:rsid w:val="007A4A06"/>
    <w:rsid w:val="007A53B0"/>
    <w:rsid w:val="007B1C7A"/>
    <w:rsid w:val="007B31F2"/>
    <w:rsid w:val="007B3DA8"/>
    <w:rsid w:val="007B4B08"/>
    <w:rsid w:val="007B53F9"/>
    <w:rsid w:val="007B6D27"/>
    <w:rsid w:val="007C2B1D"/>
    <w:rsid w:val="007C45B0"/>
    <w:rsid w:val="007C5FFD"/>
    <w:rsid w:val="007C6D19"/>
    <w:rsid w:val="007D1A76"/>
    <w:rsid w:val="007D2825"/>
    <w:rsid w:val="007D62ED"/>
    <w:rsid w:val="007D7BB1"/>
    <w:rsid w:val="007E0D15"/>
    <w:rsid w:val="007F0C40"/>
    <w:rsid w:val="007F66CD"/>
    <w:rsid w:val="007F6811"/>
    <w:rsid w:val="00800E1E"/>
    <w:rsid w:val="00807C6F"/>
    <w:rsid w:val="0081074D"/>
    <w:rsid w:val="008108E8"/>
    <w:rsid w:val="0081291B"/>
    <w:rsid w:val="00812DF8"/>
    <w:rsid w:val="00814415"/>
    <w:rsid w:val="00814765"/>
    <w:rsid w:val="008204B5"/>
    <w:rsid w:val="00820F2C"/>
    <w:rsid w:val="00824140"/>
    <w:rsid w:val="0082549D"/>
    <w:rsid w:val="00827C89"/>
    <w:rsid w:val="008303E4"/>
    <w:rsid w:val="008329A5"/>
    <w:rsid w:val="00835314"/>
    <w:rsid w:val="0084640E"/>
    <w:rsid w:val="00847DB4"/>
    <w:rsid w:val="00852746"/>
    <w:rsid w:val="00855913"/>
    <w:rsid w:val="00857E38"/>
    <w:rsid w:val="00862EFD"/>
    <w:rsid w:val="00867A1B"/>
    <w:rsid w:val="008722DF"/>
    <w:rsid w:val="00873AC5"/>
    <w:rsid w:val="008774E5"/>
    <w:rsid w:val="00877565"/>
    <w:rsid w:val="008824CF"/>
    <w:rsid w:val="008872BA"/>
    <w:rsid w:val="00890210"/>
    <w:rsid w:val="00892F3A"/>
    <w:rsid w:val="00894763"/>
    <w:rsid w:val="008949FC"/>
    <w:rsid w:val="00895930"/>
    <w:rsid w:val="008A1E00"/>
    <w:rsid w:val="008A4FF8"/>
    <w:rsid w:val="008B3EE2"/>
    <w:rsid w:val="008B7191"/>
    <w:rsid w:val="008C749F"/>
    <w:rsid w:val="008D19FA"/>
    <w:rsid w:val="008D3BCA"/>
    <w:rsid w:val="008D48D6"/>
    <w:rsid w:val="008D59B4"/>
    <w:rsid w:val="008D7476"/>
    <w:rsid w:val="008E028E"/>
    <w:rsid w:val="008E2D03"/>
    <w:rsid w:val="008E6142"/>
    <w:rsid w:val="008E7BEB"/>
    <w:rsid w:val="008F5021"/>
    <w:rsid w:val="008F5122"/>
    <w:rsid w:val="008F6F10"/>
    <w:rsid w:val="008F6F96"/>
    <w:rsid w:val="0090581E"/>
    <w:rsid w:val="0090691F"/>
    <w:rsid w:val="00910082"/>
    <w:rsid w:val="00911F87"/>
    <w:rsid w:val="00913439"/>
    <w:rsid w:val="00913C66"/>
    <w:rsid w:val="0091594A"/>
    <w:rsid w:val="009220BB"/>
    <w:rsid w:val="009221E5"/>
    <w:rsid w:val="00924562"/>
    <w:rsid w:val="0092496C"/>
    <w:rsid w:val="0092593E"/>
    <w:rsid w:val="009271B7"/>
    <w:rsid w:val="0093017D"/>
    <w:rsid w:val="009334FD"/>
    <w:rsid w:val="00934DF2"/>
    <w:rsid w:val="00937B27"/>
    <w:rsid w:val="0094452B"/>
    <w:rsid w:val="0094738D"/>
    <w:rsid w:val="00947B21"/>
    <w:rsid w:val="00951E2C"/>
    <w:rsid w:val="00955050"/>
    <w:rsid w:val="0095787C"/>
    <w:rsid w:val="00961E63"/>
    <w:rsid w:val="00966597"/>
    <w:rsid w:val="00967003"/>
    <w:rsid w:val="00967406"/>
    <w:rsid w:val="00974F08"/>
    <w:rsid w:val="009769C6"/>
    <w:rsid w:val="00980CE7"/>
    <w:rsid w:val="00983964"/>
    <w:rsid w:val="009851CB"/>
    <w:rsid w:val="00987340"/>
    <w:rsid w:val="009A6C2C"/>
    <w:rsid w:val="009B059D"/>
    <w:rsid w:val="009B2866"/>
    <w:rsid w:val="009C1B56"/>
    <w:rsid w:val="009C2B16"/>
    <w:rsid w:val="009C59D8"/>
    <w:rsid w:val="009C5FFA"/>
    <w:rsid w:val="009D1179"/>
    <w:rsid w:val="009D288E"/>
    <w:rsid w:val="009D40BE"/>
    <w:rsid w:val="009D64BB"/>
    <w:rsid w:val="009D7C5B"/>
    <w:rsid w:val="009E03DD"/>
    <w:rsid w:val="009E60FC"/>
    <w:rsid w:val="009F09FC"/>
    <w:rsid w:val="009F1CF0"/>
    <w:rsid w:val="009F60C1"/>
    <w:rsid w:val="00A00BBB"/>
    <w:rsid w:val="00A01A93"/>
    <w:rsid w:val="00A148D8"/>
    <w:rsid w:val="00A17A92"/>
    <w:rsid w:val="00A27633"/>
    <w:rsid w:val="00A4200A"/>
    <w:rsid w:val="00A509B2"/>
    <w:rsid w:val="00A523CC"/>
    <w:rsid w:val="00A546ED"/>
    <w:rsid w:val="00A60217"/>
    <w:rsid w:val="00A60931"/>
    <w:rsid w:val="00A61374"/>
    <w:rsid w:val="00A619DE"/>
    <w:rsid w:val="00A62428"/>
    <w:rsid w:val="00A66AAD"/>
    <w:rsid w:val="00A712EF"/>
    <w:rsid w:val="00A7197A"/>
    <w:rsid w:val="00A73140"/>
    <w:rsid w:val="00A73ED7"/>
    <w:rsid w:val="00A742F4"/>
    <w:rsid w:val="00A75761"/>
    <w:rsid w:val="00A768B2"/>
    <w:rsid w:val="00A81BE1"/>
    <w:rsid w:val="00A829ED"/>
    <w:rsid w:val="00A947CB"/>
    <w:rsid w:val="00A9678E"/>
    <w:rsid w:val="00AA0FAC"/>
    <w:rsid w:val="00AB1126"/>
    <w:rsid w:val="00AB1FC1"/>
    <w:rsid w:val="00AB25F5"/>
    <w:rsid w:val="00AB4EEC"/>
    <w:rsid w:val="00AB64DE"/>
    <w:rsid w:val="00AB6F19"/>
    <w:rsid w:val="00AC0FF6"/>
    <w:rsid w:val="00AC17FA"/>
    <w:rsid w:val="00AC32F9"/>
    <w:rsid w:val="00AD380C"/>
    <w:rsid w:val="00AD38CE"/>
    <w:rsid w:val="00AD3ACF"/>
    <w:rsid w:val="00AE045A"/>
    <w:rsid w:val="00AE1FD2"/>
    <w:rsid w:val="00AE2D7A"/>
    <w:rsid w:val="00AE42EC"/>
    <w:rsid w:val="00AE4F7C"/>
    <w:rsid w:val="00AE539F"/>
    <w:rsid w:val="00AF2495"/>
    <w:rsid w:val="00AF2749"/>
    <w:rsid w:val="00AF353D"/>
    <w:rsid w:val="00AF4AA4"/>
    <w:rsid w:val="00AF7E13"/>
    <w:rsid w:val="00B00ADD"/>
    <w:rsid w:val="00B00B91"/>
    <w:rsid w:val="00B07754"/>
    <w:rsid w:val="00B1425A"/>
    <w:rsid w:val="00B15BD1"/>
    <w:rsid w:val="00B161AD"/>
    <w:rsid w:val="00B21B82"/>
    <w:rsid w:val="00B222EB"/>
    <w:rsid w:val="00B238D8"/>
    <w:rsid w:val="00B25DBE"/>
    <w:rsid w:val="00B27B22"/>
    <w:rsid w:val="00B27D90"/>
    <w:rsid w:val="00B3135D"/>
    <w:rsid w:val="00B41391"/>
    <w:rsid w:val="00B4172D"/>
    <w:rsid w:val="00B538CF"/>
    <w:rsid w:val="00B55313"/>
    <w:rsid w:val="00B60727"/>
    <w:rsid w:val="00B619C7"/>
    <w:rsid w:val="00B67D94"/>
    <w:rsid w:val="00B700EF"/>
    <w:rsid w:val="00B7066A"/>
    <w:rsid w:val="00B71542"/>
    <w:rsid w:val="00B75BE8"/>
    <w:rsid w:val="00B824C4"/>
    <w:rsid w:val="00B85D8C"/>
    <w:rsid w:val="00B947A5"/>
    <w:rsid w:val="00B96DC1"/>
    <w:rsid w:val="00B97F83"/>
    <w:rsid w:val="00BA2020"/>
    <w:rsid w:val="00BA2DDE"/>
    <w:rsid w:val="00BA2F57"/>
    <w:rsid w:val="00BA3F4B"/>
    <w:rsid w:val="00BA67E9"/>
    <w:rsid w:val="00BB05A4"/>
    <w:rsid w:val="00BB3311"/>
    <w:rsid w:val="00BB4211"/>
    <w:rsid w:val="00BB55B5"/>
    <w:rsid w:val="00BB7952"/>
    <w:rsid w:val="00BB7E91"/>
    <w:rsid w:val="00BC0DAD"/>
    <w:rsid w:val="00BC1FBC"/>
    <w:rsid w:val="00BC303B"/>
    <w:rsid w:val="00BC548E"/>
    <w:rsid w:val="00BE0CE4"/>
    <w:rsid w:val="00BE3A45"/>
    <w:rsid w:val="00BE46CF"/>
    <w:rsid w:val="00BE4D4B"/>
    <w:rsid w:val="00BE4E6E"/>
    <w:rsid w:val="00BF14CC"/>
    <w:rsid w:val="00BF658E"/>
    <w:rsid w:val="00BF6972"/>
    <w:rsid w:val="00C1171C"/>
    <w:rsid w:val="00C21837"/>
    <w:rsid w:val="00C311B7"/>
    <w:rsid w:val="00C3154B"/>
    <w:rsid w:val="00C3267B"/>
    <w:rsid w:val="00C3325A"/>
    <w:rsid w:val="00C33264"/>
    <w:rsid w:val="00C50EB7"/>
    <w:rsid w:val="00C51093"/>
    <w:rsid w:val="00C5699A"/>
    <w:rsid w:val="00C6039E"/>
    <w:rsid w:val="00C607A2"/>
    <w:rsid w:val="00C60C8C"/>
    <w:rsid w:val="00C621FC"/>
    <w:rsid w:val="00C67AEB"/>
    <w:rsid w:val="00C70EE1"/>
    <w:rsid w:val="00C802DC"/>
    <w:rsid w:val="00C80C4D"/>
    <w:rsid w:val="00C812FA"/>
    <w:rsid w:val="00C828CD"/>
    <w:rsid w:val="00C87246"/>
    <w:rsid w:val="00C908CA"/>
    <w:rsid w:val="00C948E3"/>
    <w:rsid w:val="00C964AD"/>
    <w:rsid w:val="00C97FF5"/>
    <w:rsid w:val="00CA489A"/>
    <w:rsid w:val="00CA4B80"/>
    <w:rsid w:val="00CA6D83"/>
    <w:rsid w:val="00CC0429"/>
    <w:rsid w:val="00CC5301"/>
    <w:rsid w:val="00CD1466"/>
    <w:rsid w:val="00CD1F47"/>
    <w:rsid w:val="00CD26E1"/>
    <w:rsid w:val="00CD42C6"/>
    <w:rsid w:val="00CD4FA8"/>
    <w:rsid w:val="00CD6B89"/>
    <w:rsid w:val="00CE26CB"/>
    <w:rsid w:val="00CE2CDA"/>
    <w:rsid w:val="00CE7DA1"/>
    <w:rsid w:val="00CF181B"/>
    <w:rsid w:val="00CF27B2"/>
    <w:rsid w:val="00CF65A3"/>
    <w:rsid w:val="00D00528"/>
    <w:rsid w:val="00D05C00"/>
    <w:rsid w:val="00D1309B"/>
    <w:rsid w:val="00D13CF0"/>
    <w:rsid w:val="00D15A19"/>
    <w:rsid w:val="00D175CF"/>
    <w:rsid w:val="00D2049B"/>
    <w:rsid w:val="00D21D3C"/>
    <w:rsid w:val="00D2266B"/>
    <w:rsid w:val="00D24422"/>
    <w:rsid w:val="00D302F0"/>
    <w:rsid w:val="00D309A0"/>
    <w:rsid w:val="00D3268D"/>
    <w:rsid w:val="00D330F4"/>
    <w:rsid w:val="00D3475D"/>
    <w:rsid w:val="00D34AB7"/>
    <w:rsid w:val="00D43126"/>
    <w:rsid w:val="00D435EE"/>
    <w:rsid w:val="00D45D3D"/>
    <w:rsid w:val="00D46859"/>
    <w:rsid w:val="00D57F07"/>
    <w:rsid w:val="00D6186A"/>
    <w:rsid w:val="00D63698"/>
    <w:rsid w:val="00D64B06"/>
    <w:rsid w:val="00D64C48"/>
    <w:rsid w:val="00D6582D"/>
    <w:rsid w:val="00D763B7"/>
    <w:rsid w:val="00D77055"/>
    <w:rsid w:val="00D77345"/>
    <w:rsid w:val="00D8202F"/>
    <w:rsid w:val="00D91FF4"/>
    <w:rsid w:val="00D92EE4"/>
    <w:rsid w:val="00D93E34"/>
    <w:rsid w:val="00D94DC9"/>
    <w:rsid w:val="00DA1B87"/>
    <w:rsid w:val="00DA4F1A"/>
    <w:rsid w:val="00DA730B"/>
    <w:rsid w:val="00DA7B16"/>
    <w:rsid w:val="00DA7C25"/>
    <w:rsid w:val="00DB0093"/>
    <w:rsid w:val="00DB1D60"/>
    <w:rsid w:val="00DB449E"/>
    <w:rsid w:val="00DB4521"/>
    <w:rsid w:val="00DB7D7C"/>
    <w:rsid w:val="00DC0373"/>
    <w:rsid w:val="00DC1055"/>
    <w:rsid w:val="00DC192A"/>
    <w:rsid w:val="00DC6811"/>
    <w:rsid w:val="00DD052D"/>
    <w:rsid w:val="00DD2953"/>
    <w:rsid w:val="00DD3271"/>
    <w:rsid w:val="00DD4924"/>
    <w:rsid w:val="00DE0DEB"/>
    <w:rsid w:val="00DE4114"/>
    <w:rsid w:val="00DE5CD3"/>
    <w:rsid w:val="00DE60AE"/>
    <w:rsid w:val="00DE63CF"/>
    <w:rsid w:val="00DE7F8E"/>
    <w:rsid w:val="00DF0757"/>
    <w:rsid w:val="00DF09F9"/>
    <w:rsid w:val="00DF157C"/>
    <w:rsid w:val="00DF4E13"/>
    <w:rsid w:val="00DF77B2"/>
    <w:rsid w:val="00E033EE"/>
    <w:rsid w:val="00E03EA9"/>
    <w:rsid w:val="00E070FB"/>
    <w:rsid w:val="00E10CF1"/>
    <w:rsid w:val="00E13370"/>
    <w:rsid w:val="00E16198"/>
    <w:rsid w:val="00E17B10"/>
    <w:rsid w:val="00E2132E"/>
    <w:rsid w:val="00E21574"/>
    <w:rsid w:val="00E25B7E"/>
    <w:rsid w:val="00E25CD7"/>
    <w:rsid w:val="00E26B83"/>
    <w:rsid w:val="00E26BA8"/>
    <w:rsid w:val="00E26E22"/>
    <w:rsid w:val="00E27521"/>
    <w:rsid w:val="00E27A8B"/>
    <w:rsid w:val="00E34CB2"/>
    <w:rsid w:val="00E3524D"/>
    <w:rsid w:val="00E36217"/>
    <w:rsid w:val="00E412E8"/>
    <w:rsid w:val="00E442D7"/>
    <w:rsid w:val="00E444F3"/>
    <w:rsid w:val="00E51C0E"/>
    <w:rsid w:val="00E652A9"/>
    <w:rsid w:val="00E672CE"/>
    <w:rsid w:val="00E6746A"/>
    <w:rsid w:val="00E741CF"/>
    <w:rsid w:val="00E830CF"/>
    <w:rsid w:val="00E84B54"/>
    <w:rsid w:val="00E875C9"/>
    <w:rsid w:val="00E97083"/>
    <w:rsid w:val="00EA4FF3"/>
    <w:rsid w:val="00EA5CEE"/>
    <w:rsid w:val="00EA79D5"/>
    <w:rsid w:val="00EB00C7"/>
    <w:rsid w:val="00EB2BBE"/>
    <w:rsid w:val="00EB5042"/>
    <w:rsid w:val="00EB565C"/>
    <w:rsid w:val="00EB64B6"/>
    <w:rsid w:val="00EB7273"/>
    <w:rsid w:val="00ED1CF5"/>
    <w:rsid w:val="00ED31C9"/>
    <w:rsid w:val="00ED53B6"/>
    <w:rsid w:val="00ED686A"/>
    <w:rsid w:val="00EE04D0"/>
    <w:rsid w:val="00EE0A47"/>
    <w:rsid w:val="00EE4211"/>
    <w:rsid w:val="00EE7AEF"/>
    <w:rsid w:val="00EF38DD"/>
    <w:rsid w:val="00EF7ED8"/>
    <w:rsid w:val="00F028BE"/>
    <w:rsid w:val="00F0586A"/>
    <w:rsid w:val="00F063E9"/>
    <w:rsid w:val="00F105B6"/>
    <w:rsid w:val="00F114DB"/>
    <w:rsid w:val="00F13267"/>
    <w:rsid w:val="00F13BDC"/>
    <w:rsid w:val="00F15BF5"/>
    <w:rsid w:val="00F15C7B"/>
    <w:rsid w:val="00F254AD"/>
    <w:rsid w:val="00F265AB"/>
    <w:rsid w:val="00F26AAE"/>
    <w:rsid w:val="00F31011"/>
    <w:rsid w:val="00F33188"/>
    <w:rsid w:val="00F33B8F"/>
    <w:rsid w:val="00F34505"/>
    <w:rsid w:val="00F36A4D"/>
    <w:rsid w:val="00F40767"/>
    <w:rsid w:val="00F64DA9"/>
    <w:rsid w:val="00F66BB9"/>
    <w:rsid w:val="00F70EB6"/>
    <w:rsid w:val="00F71634"/>
    <w:rsid w:val="00F752EA"/>
    <w:rsid w:val="00F80AF7"/>
    <w:rsid w:val="00F82D52"/>
    <w:rsid w:val="00F83112"/>
    <w:rsid w:val="00F86F64"/>
    <w:rsid w:val="00F91226"/>
    <w:rsid w:val="00F92C0A"/>
    <w:rsid w:val="00FA0394"/>
    <w:rsid w:val="00FB1070"/>
    <w:rsid w:val="00FB27DA"/>
    <w:rsid w:val="00FB3096"/>
    <w:rsid w:val="00FC072A"/>
    <w:rsid w:val="00FC31BA"/>
    <w:rsid w:val="00FC3BB1"/>
    <w:rsid w:val="00FD23C2"/>
    <w:rsid w:val="00FD38F9"/>
    <w:rsid w:val="00FD40F0"/>
    <w:rsid w:val="00FD52E9"/>
    <w:rsid w:val="00FD6FDD"/>
    <w:rsid w:val="00FD7ED7"/>
    <w:rsid w:val="00FE5EF3"/>
    <w:rsid w:val="00FF22D6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  <w:style w:type="table" w:styleId="Mkatabulky">
    <w:name w:val="Table Grid"/>
    <w:basedOn w:val="Normlntabulka"/>
    <w:uiPriority w:val="39"/>
    <w:rsid w:val="0074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4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  <w:style w:type="table" w:styleId="Mkatabulky">
    <w:name w:val="Table Grid"/>
    <w:basedOn w:val="Normlntabulka"/>
    <w:uiPriority w:val="39"/>
    <w:rsid w:val="0074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44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entral-group.cz/proc-central-grou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ntral-group.cz/tiskove-zprav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jemelka\AppData\Local\Temp\www.central-group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dia@central-group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1710C-A3BF-4C3A-AE62-CA332348B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1030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jankovsky</dc:creator>
  <cp:lastModifiedBy>fialkova marcela</cp:lastModifiedBy>
  <cp:revision>11</cp:revision>
  <cp:lastPrinted>2016-08-31T07:54:00Z</cp:lastPrinted>
  <dcterms:created xsi:type="dcterms:W3CDTF">2016-08-04T15:03:00Z</dcterms:created>
  <dcterms:modified xsi:type="dcterms:W3CDTF">2016-08-31T10:32:00Z</dcterms:modified>
</cp:coreProperties>
</file>