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56" w:rsidRPr="00D763B7" w:rsidRDefault="0065674E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05pt;margin-top:23pt;width:358.1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"/>
        </w:pic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2D6">
        <w:rPr>
          <w:color w:val="17365D"/>
          <w:sz w:val="30"/>
          <w:szCs w:val="30"/>
        </w:rPr>
        <w:t>TISKOVÁ ZPRÁVA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6310B0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1</w:t>
      </w:r>
      <w:r w:rsidR="0065674E">
        <w:rPr>
          <w:color w:val="17365D"/>
          <w:sz w:val="30"/>
          <w:szCs w:val="30"/>
        </w:rPr>
        <w:t>4</w:t>
      </w:r>
      <w:r>
        <w:rPr>
          <w:color w:val="17365D"/>
          <w:sz w:val="30"/>
          <w:szCs w:val="30"/>
        </w:rPr>
        <w:t>.5</w:t>
      </w:r>
      <w:r w:rsidR="00FF22D6">
        <w:rPr>
          <w:color w:val="17365D"/>
          <w:sz w:val="30"/>
          <w:szCs w:val="30"/>
        </w:rPr>
        <w:t>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CA489A" w:rsidRDefault="003E4FDA" w:rsidP="00A75761">
      <w:pPr>
        <w:spacing w:after="0" w:line="264" w:lineRule="auto"/>
        <w:rPr>
          <w:rFonts w:ascii="Arial Black" w:hAnsi="Arial Black" w:cs="Arial"/>
          <w:b/>
          <w:sz w:val="28"/>
          <w:szCs w:val="28"/>
        </w:rPr>
      </w:pPr>
    </w:p>
    <w:p w:rsidR="003E4FDA" w:rsidRPr="00CA489A" w:rsidRDefault="00D46859" w:rsidP="00651991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CENTRAL </w:t>
      </w:r>
      <w:r w:rsidRPr="00AD13E3">
        <w:rPr>
          <w:rFonts w:ascii="Arial Black" w:hAnsi="Arial Black"/>
          <w:color w:val="000000" w:themeColor="text1"/>
          <w:sz w:val="32"/>
          <w:szCs w:val="32"/>
        </w:rPr>
        <w:t xml:space="preserve">GROUP </w:t>
      </w:r>
      <w:r w:rsidR="005E36D7">
        <w:rPr>
          <w:rFonts w:ascii="Arial Black" w:hAnsi="Arial Black"/>
          <w:color w:val="000000" w:themeColor="text1"/>
          <w:sz w:val="32"/>
          <w:szCs w:val="32"/>
        </w:rPr>
        <w:t>pokračuje v akvizicích</w:t>
      </w:r>
      <w:r w:rsidR="005837E9" w:rsidRPr="00AD13E3">
        <w:rPr>
          <w:rFonts w:ascii="Arial Black" w:hAnsi="Arial Black"/>
          <w:color w:val="000000" w:themeColor="text1"/>
          <w:sz w:val="32"/>
          <w:szCs w:val="32"/>
        </w:rPr>
        <w:t xml:space="preserve">. </w:t>
      </w:r>
      <w:r w:rsidR="006310B0">
        <w:rPr>
          <w:rFonts w:ascii="Arial Black" w:hAnsi="Arial Black"/>
          <w:color w:val="000000" w:themeColor="text1"/>
          <w:sz w:val="32"/>
          <w:szCs w:val="32"/>
        </w:rPr>
        <w:t>K</w:t>
      </w:r>
      <w:r w:rsidR="005E36D7">
        <w:rPr>
          <w:rFonts w:ascii="Arial Black" w:hAnsi="Arial Black"/>
          <w:color w:val="000000" w:themeColor="text1"/>
          <w:sz w:val="32"/>
          <w:szCs w:val="32"/>
        </w:rPr>
        <w:t>oupil další</w:t>
      </w:r>
      <w:r w:rsidR="006310B0">
        <w:rPr>
          <w:rFonts w:ascii="Arial Black" w:hAnsi="Arial Black"/>
          <w:color w:val="000000" w:themeColor="text1"/>
          <w:sz w:val="32"/>
          <w:szCs w:val="32"/>
        </w:rPr>
        <w:t xml:space="preserve"> velký </w:t>
      </w:r>
      <w:r w:rsidR="005E36D7">
        <w:rPr>
          <w:rFonts w:ascii="Arial Black" w:hAnsi="Arial Black"/>
          <w:color w:val="000000" w:themeColor="text1"/>
          <w:sz w:val="32"/>
          <w:szCs w:val="32"/>
        </w:rPr>
        <w:t>pozemek v Praze 9 a n</w:t>
      </w:r>
      <w:r w:rsidR="00CF7C55" w:rsidRPr="00AD13E3">
        <w:rPr>
          <w:rFonts w:ascii="Arial Black" w:hAnsi="Arial Black"/>
          <w:color w:val="000000" w:themeColor="text1"/>
          <w:sz w:val="32"/>
          <w:szCs w:val="32"/>
        </w:rPr>
        <w:t>amísto</w:t>
      </w:r>
      <w:r w:rsidR="00CF7C55">
        <w:rPr>
          <w:rFonts w:ascii="Arial Black" w:hAnsi="Arial Black"/>
          <w:color w:val="000000" w:themeColor="text1"/>
          <w:sz w:val="32"/>
          <w:szCs w:val="32"/>
        </w:rPr>
        <w:t xml:space="preserve"> </w:t>
      </w:r>
      <w:proofErr w:type="spellStart"/>
      <w:r w:rsidR="00CF7C55">
        <w:rPr>
          <w:rFonts w:ascii="Arial Black" w:hAnsi="Arial Black"/>
          <w:color w:val="000000" w:themeColor="text1"/>
          <w:sz w:val="32"/>
          <w:szCs w:val="32"/>
        </w:rPr>
        <w:t>brownfieldu</w:t>
      </w:r>
      <w:proofErr w:type="spellEnd"/>
      <w:r w:rsidR="005E36D7">
        <w:rPr>
          <w:rFonts w:ascii="Arial Black" w:hAnsi="Arial Black"/>
          <w:color w:val="000000" w:themeColor="text1"/>
          <w:sz w:val="32"/>
          <w:szCs w:val="32"/>
        </w:rPr>
        <w:t xml:space="preserve"> ve Vysočan</w:t>
      </w:r>
      <w:bookmarkStart w:id="0" w:name="_GoBack"/>
      <w:bookmarkEnd w:id="0"/>
      <w:r w:rsidR="005E36D7">
        <w:rPr>
          <w:rFonts w:ascii="Arial Black" w:hAnsi="Arial Black"/>
          <w:color w:val="000000" w:themeColor="text1"/>
          <w:sz w:val="32"/>
          <w:szCs w:val="32"/>
        </w:rPr>
        <w:t>ech</w:t>
      </w:r>
      <w:r w:rsidR="00CF7C55">
        <w:rPr>
          <w:rFonts w:ascii="Arial Black" w:hAnsi="Arial Black"/>
          <w:color w:val="000000" w:themeColor="text1"/>
          <w:sz w:val="32"/>
          <w:szCs w:val="32"/>
        </w:rPr>
        <w:t xml:space="preserve"> plánuje </w:t>
      </w:r>
      <w:r w:rsidR="005E36D7">
        <w:rPr>
          <w:rFonts w:ascii="Arial Black" w:hAnsi="Arial Black"/>
          <w:color w:val="000000" w:themeColor="text1"/>
          <w:sz w:val="32"/>
          <w:szCs w:val="32"/>
        </w:rPr>
        <w:t>komplex se 700 byty</w:t>
      </w:r>
    </w:p>
    <w:p w:rsidR="00FF22D6" w:rsidRPr="00CA489A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28"/>
          <w:szCs w:val="28"/>
        </w:rPr>
      </w:pPr>
    </w:p>
    <w:p w:rsidR="0035190E" w:rsidRDefault="006310B0" w:rsidP="00BC548E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1</w:t>
      </w:r>
      <w:r w:rsidR="0065674E">
        <w:rPr>
          <w:rFonts w:ascii="Arial" w:hAnsi="Arial" w:cs="Arial"/>
          <w:i/>
          <w:sz w:val="23"/>
          <w:szCs w:val="23"/>
          <w:lang w:eastAsia="cs-CZ"/>
        </w:rPr>
        <w:t>4</w:t>
      </w:r>
      <w:r>
        <w:rPr>
          <w:rFonts w:ascii="Arial" w:hAnsi="Arial" w:cs="Arial"/>
          <w:i/>
          <w:sz w:val="23"/>
          <w:szCs w:val="23"/>
          <w:lang w:eastAsia="cs-CZ"/>
        </w:rPr>
        <w:t>.5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.2015</w:t>
      </w:r>
      <w:proofErr w:type="gramEnd"/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>, Praha –</w:t>
      </w:r>
      <w:r w:rsidR="0036769C" w:rsidRPr="00CA489A"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36769C" w:rsidRPr="00CA489A">
        <w:rPr>
          <w:rFonts w:ascii="Arial" w:hAnsi="Arial" w:cs="Arial"/>
          <w:b/>
          <w:sz w:val="23"/>
          <w:szCs w:val="23"/>
          <w:lang w:eastAsia="cs-CZ"/>
        </w:rPr>
        <w:t>Největší český rezidenční developer</w:t>
      </w:r>
      <w:r w:rsidR="00766721" w:rsidRPr="00CA489A">
        <w:rPr>
          <w:rFonts w:ascii="Arial" w:hAnsi="Arial" w:cs="Arial"/>
          <w:b/>
          <w:sz w:val="23"/>
          <w:szCs w:val="23"/>
          <w:lang w:eastAsia="cs-CZ"/>
        </w:rPr>
        <w:t xml:space="preserve"> a investor</w:t>
      </w:r>
      <w:r w:rsidR="004D14BF">
        <w:rPr>
          <w:rFonts w:ascii="Arial" w:hAnsi="Arial" w:cs="Arial"/>
          <w:b/>
          <w:sz w:val="23"/>
          <w:szCs w:val="23"/>
          <w:lang w:eastAsia="cs-CZ"/>
        </w:rPr>
        <w:t xml:space="preserve"> nové bytové výstavby </w:t>
      </w:r>
      <w:r w:rsidR="0036769C" w:rsidRPr="00CA489A">
        <w:rPr>
          <w:rFonts w:ascii="Arial" w:hAnsi="Arial" w:cs="Arial"/>
          <w:b/>
          <w:sz w:val="23"/>
          <w:szCs w:val="23"/>
          <w:lang w:eastAsia="cs-CZ"/>
        </w:rPr>
        <w:t xml:space="preserve">CENTRAL GROUP </w:t>
      </w:r>
      <w:r w:rsidR="005837E9">
        <w:rPr>
          <w:rFonts w:ascii="Arial" w:hAnsi="Arial" w:cs="Arial"/>
          <w:b/>
          <w:sz w:val="23"/>
          <w:szCs w:val="23"/>
          <w:lang w:eastAsia="cs-CZ"/>
        </w:rPr>
        <w:t>pokračuje v dalších akvizicích. V</w:t>
      </w:r>
      <w:r w:rsidR="00CE79F1">
        <w:rPr>
          <w:rFonts w:ascii="Arial" w:hAnsi="Arial" w:cs="Arial"/>
          <w:b/>
          <w:sz w:val="23"/>
          <w:szCs w:val="23"/>
          <w:lang w:eastAsia="cs-CZ"/>
        </w:rPr>
        <w:t> </w:t>
      </w:r>
      <w:r w:rsidR="00AD13E3">
        <w:rPr>
          <w:rFonts w:ascii="Arial" w:hAnsi="Arial" w:cs="Arial"/>
          <w:b/>
          <w:sz w:val="23"/>
          <w:szCs w:val="23"/>
          <w:lang w:eastAsia="cs-CZ"/>
        </w:rPr>
        <w:t>tomto</w:t>
      </w:r>
      <w:r w:rsidR="00CE79F1">
        <w:rPr>
          <w:rFonts w:ascii="Arial" w:hAnsi="Arial" w:cs="Arial"/>
          <w:b/>
          <w:sz w:val="23"/>
          <w:szCs w:val="23"/>
          <w:lang w:eastAsia="cs-CZ"/>
        </w:rPr>
        <w:t xml:space="preserve"> týdnu </w:t>
      </w:r>
      <w:r w:rsidR="005E36D7">
        <w:rPr>
          <w:rFonts w:ascii="Arial" w:hAnsi="Arial" w:cs="Arial"/>
          <w:b/>
          <w:sz w:val="23"/>
          <w:szCs w:val="23"/>
          <w:lang w:eastAsia="cs-CZ"/>
        </w:rPr>
        <w:t xml:space="preserve">zakoupil </w:t>
      </w:r>
      <w:r w:rsidR="0035190E">
        <w:rPr>
          <w:rFonts w:ascii="Arial" w:hAnsi="Arial" w:cs="Arial"/>
          <w:b/>
          <w:sz w:val="23"/>
          <w:szCs w:val="23"/>
          <w:lang w:eastAsia="cs-CZ"/>
        </w:rPr>
        <w:t xml:space="preserve">letos </w:t>
      </w:r>
      <w:r w:rsidR="005E36D7">
        <w:rPr>
          <w:rFonts w:ascii="Arial" w:hAnsi="Arial" w:cs="Arial"/>
          <w:b/>
          <w:sz w:val="23"/>
          <w:szCs w:val="23"/>
          <w:lang w:eastAsia="cs-CZ"/>
        </w:rPr>
        <w:t xml:space="preserve">již třetí pozemek a zároveň definitivně rozhodl o koupi již dříve zajištěného velkého </w:t>
      </w:r>
      <w:proofErr w:type="spellStart"/>
      <w:r w:rsidR="005E36D7">
        <w:rPr>
          <w:rFonts w:ascii="Arial" w:hAnsi="Arial" w:cs="Arial"/>
          <w:b/>
          <w:sz w:val="23"/>
          <w:szCs w:val="23"/>
          <w:lang w:eastAsia="cs-CZ"/>
        </w:rPr>
        <w:t>brownfieldu</w:t>
      </w:r>
      <w:proofErr w:type="spellEnd"/>
      <w:r w:rsidR="005E36D7">
        <w:rPr>
          <w:rFonts w:ascii="Arial" w:hAnsi="Arial" w:cs="Arial"/>
          <w:b/>
          <w:sz w:val="23"/>
          <w:szCs w:val="23"/>
          <w:lang w:eastAsia="cs-CZ"/>
        </w:rPr>
        <w:t xml:space="preserve"> v pražských Vysočanech</w:t>
      </w:r>
      <w:r w:rsidR="0035190E">
        <w:rPr>
          <w:rFonts w:ascii="Arial" w:hAnsi="Arial" w:cs="Arial"/>
          <w:b/>
          <w:sz w:val="23"/>
          <w:szCs w:val="23"/>
          <w:lang w:eastAsia="cs-CZ"/>
        </w:rPr>
        <w:t xml:space="preserve"> pro zhruba 700 bytů</w:t>
      </w:r>
      <w:r w:rsidR="005E36D7">
        <w:rPr>
          <w:rFonts w:ascii="Arial" w:hAnsi="Arial" w:cs="Arial"/>
          <w:b/>
          <w:sz w:val="23"/>
          <w:szCs w:val="23"/>
          <w:lang w:eastAsia="cs-CZ"/>
        </w:rPr>
        <w:t xml:space="preserve">. </w:t>
      </w:r>
    </w:p>
    <w:p w:rsidR="0035190E" w:rsidRDefault="0035190E" w:rsidP="00BC548E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</w:p>
    <w:p w:rsidR="0035190E" w:rsidRDefault="005E36D7" w:rsidP="0035190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35190E">
        <w:rPr>
          <w:rFonts w:ascii="Arial" w:hAnsi="Arial" w:cs="Arial"/>
          <w:lang w:eastAsia="cs-CZ"/>
        </w:rPr>
        <w:t>Po již dříve avizovaných lokalitách v Horních Měcholupech a ve Stodůlkách přidává nyní CENTRAL GROUP do svého portfolia další</w:t>
      </w:r>
      <w:r w:rsidR="0035190E" w:rsidRPr="00DA4653">
        <w:rPr>
          <w:rFonts w:ascii="Arial" w:hAnsi="Arial" w:cs="Arial"/>
          <w:color w:val="000000" w:themeColor="text1"/>
          <w:lang w:eastAsia="cs-CZ"/>
        </w:rPr>
        <w:t>, v letošním roce již třetí</w:t>
      </w:r>
      <w:r w:rsidRPr="0035190E">
        <w:rPr>
          <w:rFonts w:ascii="Arial" w:hAnsi="Arial" w:cs="Arial"/>
          <w:lang w:eastAsia="cs-CZ"/>
        </w:rPr>
        <w:t xml:space="preserve"> pozemek</w:t>
      </w:r>
      <w:r w:rsidR="0035190E">
        <w:rPr>
          <w:rFonts w:ascii="Arial" w:hAnsi="Arial" w:cs="Arial"/>
          <w:lang w:eastAsia="cs-CZ"/>
        </w:rPr>
        <w:t>.</w:t>
      </w:r>
      <w:r w:rsidRPr="0035190E">
        <w:rPr>
          <w:rFonts w:ascii="Arial" w:hAnsi="Arial" w:cs="Arial"/>
          <w:lang w:eastAsia="cs-CZ"/>
        </w:rPr>
        <w:t xml:space="preserve"> </w:t>
      </w:r>
      <w:r w:rsidR="0035190E" w:rsidRPr="0035190E">
        <w:rPr>
          <w:rFonts w:ascii="Arial" w:hAnsi="Arial" w:cs="Arial"/>
          <w:lang w:eastAsia="cs-CZ"/>
        </w:rPr>
        <w:t>Z</w:t>
      </w:r>
      <w:r w:rsidR="0035190E">
        <w:rPr>
          <w:rFonts w:ascii="Arial" w:hAnsi="Arial" w:cs="Arial"/>
          <w:lang w:eastAsia="cs-CZ"/>
        </w:rPr>
        <w:t xml:space="preserve">akoupený pozemek </w:t>
      </w:r>
      <w:proofErr w:type="gramStart"/>
      <w:r w:rsidR="0035190E">
        <w:rPr>
          <w:rFonts w:ascii="Arial" w:hAnsi="Arial" w:cs="Arial"/>
          <w:lang w:eastAsia="cs-CZ"/>
        </w:rPr>
        <w:t>se nachází</w:t>
      </w:r>
      <w:proofErr w:type="gramEnd"/>
      <w:r w:rsidR="0035190E">
        <w:rPr>
          <w:rFonts w:ascii="Arial" w:hAnsi="Arial" w:cs="Arial"/>
          <w:lang w:eastAsia="cs-CZ"/>
        </w:rPr>
        <w:t xml:space="preserve"> v proluce podél ulice Bassova v těsném sousedství stanice metra </w:t>
      </w:r>
      <w:proofErr w:type="gramStart"/>
      <w:r w:rsidR="0035190E">
        <w:rPr>
          <w:rFonts w:ascii="Arial" w:hAnsi="Arial" w:cs="Arial"/>
          <w:lang w:eastAsia="cs-CZ"/>
        </w:rPr>
        <w:t>Vysočanská</w:t>
      </w:r>
      <w:proofErr w:type="gramEnd"/>
      <w:r w:rsidR="0035190E">
        <w:rPr>
          <w:rFonts w:ascii="Arial" w:hAnsi="Arial" w:cs="Arial"/>
          <w:lang w:eastAsia="cs-CZ"/>
        </w:rPr>
        <w:t xml:space="preserve">. V budoucnu by zde měl vyrůst bytový dům se zhruba 130 jednotkami, který dotvoří stávající uliční blok. </w:t>
      </w:r>
    </w:p>
    <w:p w:rsidR="0035190E" w:rsidRDefault="0035190E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837E9" w:rsidRDefault="0035190E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Kromě </w:t>
      </w:r>
      <w:r w:rsidR="006310B0">
        <w:rPr>
          <w:rFonts w:ascii="Arial" w:hAnsi="Arial" w:cs="Arial"/>
          <w:lang w:eastAsia="cs-CZ"/>
        </w:rPr>
        <w:t>„</w:t>
      </w:r>
      <w:r>
        <w:rPr>
          <w:rFonts w:ascii="Arial" w:hAnsi="Arial" w:cs="Arial"/>
          <w:lang w:eastAsia="cs-CZ"/>
        </w:rPr>
        <w:t>menších</w:t>
      </w:r>
      <w:r w:rsidR="006310B0">
        <w:rPr>
          <w:rFonts w:ascii="Arial" w:hAnsi="Arial" w:cs="Arial"/>
          <w:lang w:eastAsia="cs-CZ"/>
        </w:rPr>
        <w:t>“</w:t>
      </w:r>
      <w:r>
        <w:rPr>
          <w:rFonts w:ascii="Arial" w:hAnsi="Arial" w:cs="Arial"/>
          <w:lang w:eastAsia="cs-CZ"/>
        </w:rPr>
        <w:t xml:space="preserve"> lokalit </w:t>
      </w:r>
      <w:r w:rsidRPr="0035190E">
        <w:rPr>
          <w:rFonts w:ascii="Arial" w:hAnsi="Arial" w:cs="Arial"/>
          <w:lang w:eastAsia="cs-CZ"/>
        </w:rPr>
        <w:t>pro řádově 50-1</w:t>
      </w:r>
      <w:r>
        <w:rPr>
          <w:rFonts w:ascii="Arial" w:hAnsi="Arial" w:cs="Arial"/>
          <w:lang w:eastAsia="cs-CZ"/>
        </w:rPr>
        <w:t>3</w:t>
      </w:r>
      <w:r w:rsidRPr="0035190E">
        <w:rPr>
          <w:rFonts w:ascii="Arial" w:hAnsi="Arial" w:cs="Arial"/>
          <w:lang w:eastAsia="cs-CZ"/>
        </w:rPr>
        <w:t>0 bytů</w:t>
      </w:r>
      <w:r>
        <w:rPr>
          <w:rFonts w:ascii="Arial" w:hAnsi="Arial" w:cs="Arial"/>
          <w:lang w:eastAsia="cs-CZ"/>
        </w:rPr>
        <w:t xml:space="preserve">, </w:t>
      </w:r>
      <w:r w:rsidR="00CF7C55" w:rsidRPr="0035190E">
        <w:rPr>
          <w:rFonts w:ascii="Arial" w:hAnsi="Arial" w:cs="Arial"/>
          <w:lang w:eastAsia="cs-CZ"/>
        </w:rPr>
        <w:t xml:space="preserve">které jsou </w:t>
      </w:r>
      <w:r>
        <w:rPr>
          <w:rFonts w:ascii="Arial" w:hAnsi="Arial" w:cs="Arial"/>
          <w:lang w:eastAsia="cs-CZ"/>
        </w:rPr>
        <w:t xml:space="preserve">pro nabídku společnosti </w:t>
      </w:r>
      <w:r w:rsidR="00CF7C55" w:rsidRPr="0035190E">
        <w:rPr>
          <w:rFonts w:ascii="Arial" w:hAnsi="Arial" w:cs="Arial"/>
          <w:lang w:eastAsia="cs-CZ"/>
        </w:rPr>
        <w:t xml:space="preserve">spíše </w:t>
      </w:r>
      <w:r w:rsidR="006310B0">
        <w:rPr>
          <w:rFonts w:ascii="Arial" w:hAnsi="Arial" w:cs="Arial"/>
          <w:lang w:eastAsia="cs-CZ"/>
        </w:rPr>
        <w:t>doplňkové,</w:t>
      </w:r>
      <w:r w:rsidR="005837E9" w:rsidRPr="0035190E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rozhodl CENTRAL GROUP v uplynulých dnech </w:t>
      </w:r>
      <w:r w:rsidR="00CF7C55" w:rsidRPr="0035190E">
        <w:rPr>
          <w:rFonts w:ascii="Arial" w:hAnsi="Arial" w:cs="Arial"/>
          <w:lang w:eastAsia="cs-CZ"/>
        </w:rPr>
        <w:t xml:space="preserve">také </w:t>
      </w:r>
      <w:r>
        <w:rPr>
          <w:rFonts w:ascii="Arial" w:hAnsi="Arial" w:cs="Arial"/>
          <w:lang w:eastAsia="cs-CZ"/>
        </w:rPr>
        <w:t xml:space="preserve">o koupi </w:t>
      </w:r>
      <w:r w:rsidR="00CF7C55" w:rsidRPr="0035190E">
        <w:rPr>
          <w:rFonts w:ascii="Arial" w:hAnsi="Arial" w:cs="Arial"/>
          <w:lang w:eastAsia="cs-CZ"/>
        </w:rPr>
        <w:t>další</w:t>
      </w:r>
      <w:r>
        <w:rPr>
          <w:rFonts w:ascii="Arial" w:hAnsi="Arial" w:cs="Arial"/>
          <w:lang w:eastAsia="cs-CZ"/>
        </w:rPr>
        <w:t>ho</w:t>
      </w:r>
      <w:r w:rsidR="00CF7C55" w:rsidRPr="0035190E">
        <w:rPr>
          <w:rFonts w:ascii="Arial" w:hAnsi="Arial" w:cs="Arial"/>
          <w:lang w:eastAsia="cs-CZ"/>
        </w:rPr>
        <w:t xml:space="preserve"> </w:t>
      </w:r>
      <w:r w:rsidR="005837E9" w:rsidRPr="0035190E">
        <w:rPr>
          <w:rFonts w:ascii="Arial" w:hAnsi="Arial" w:cs="Arial"/>
          <w:lang w:eastAsia="cs-CZ"/>
        </w:rPr>
        <w:t>velk</w:t>
      </w:r>
      <w:r>
        <w:rPr>
          <w:rFonts w:ascii="Arial" w:hAnsi="Arial" w:cs="Arial"/>
          <w:lang w:eastAsia="cs-CZ"/>
        </w:rPr>
        <w:t>ého</w:t>
      </w:r>
      <w:r w:rsidR="005837E9" w:rsidRPr="0035190E">
        <w:rPr>
          <w:rFonts w:ascii="Arial" w:hAnsi="Arial" w:cs="Arial"/>
          <w:lang w:eastAsia="cs-CZ"/>
        </w:rPr>
        <w:t xml:space="preserve"> </w:t>
      </w:r>
      <w:proofErr w:type="spellStart"/>
      <w:r w:rsidR="005837E9" w:rsidRPr="0035190E">
        <w:rPr>
          <w:rFonts w:ascii="Arial" w:hAnsi="Arial" w:cs="Arial"/>
          <w:lang w:eastAsia="cs-CZ"/>
        </w:rPr>
        <w:t>brownfield</w:t>
      </w:r>
      <w:r>
        <w:rPr>
          <w:rFonts w:ascii="Arial" w:hAnsi="Arial" w:cs="Arial"/>
          <w:lang w:eastAsia="cs-CZ"/>
        </w:rPr>
        <w:t>u</w:t>
      </w:r>
      <w:proofErr w:type="spellEnd"/>
      <w:r w:rsidR="00CF7C55" w:rsidRPr="0035190E">
        <w:rPr>
          <w:rFonts w:ascii="Arial" w:hAnsi="Arial" w:cs="Arial"/>
          <w:lang w:eastAsia="cs-CZ"/>
        </w:rPr>
        <w:t>, tentokrát</w:t>
      </w:r>
      <w:r w:rsidR="005837E9" w:rsidRPr="0035190E">
        <w:rPr>
          <w:rFonts w:ascii="Arial" w:hAnsi="Arial" w:cs="Arial"/>
          <w:lang w:eastAsia="cs-CZ"/>
        </w:rPr>
        <w:t xml:space="preserve"> v pražských Vysočanech</w:t>
      </w:r>
      <w:r w:rsidR="0007119F" w:rsidRPr="0035190E">
        <w:rPr>
          <w:rFonts w:ascii="Arial" w:hAnsi="Arial" w:cs="Arial"/>
          <w:lang w:eastAsia="cs-CZ"/>
        </w:rPr>
        <w:t xml:space="preserve">. </w:t>
      </w:r>
      <w:r w:rsidR="00B7779A">
        <w:rPr>
          <w:rFonts w:ascii="Arial" w:hAnsi="Arial" w:cs="Arial"/>
          <w:lang w:eastAsia="cs-CZ"/>
        </w:rPr>
        <w:t xml:space="preserve">Areál bývalé továrny na barvy a laky </w:t>
      </w:r>
      <w:proofErr w:type="spellStart"/>
      <w:r w:rsidR="00B7779A">
        <w:rPr>
          <w:rFonts w:ascii="Arial" w:hAnsi="Arial" w:cs="Arial"/>
          <w:lang w:eastAsia="cs-CZ"/>
        </w:rPr>
        <w:t>Tebas</w:t>
      </w:r>
      <w:proofErr w:type="spellEnd"/>
      <w:r w:rsidR="00B7779A">
        <w:rPr>
          <w:rFonts w:ascii="Arial" w:hAnsi="Arial" w:cs="Arial"/>
          <w:lang w:eastAsia="cs-CZ"/>
        </w:rPr>
        <w:t xml:space="preserve"> o rozloze přibližně 22.500 metrů čtverečních se nachází mezi ulicemi Poděbradská, Pod Harfou a Kabešova. </w:t>
      </w:r>
      <w:r w:rsidR="00CF7C55">
        <w:rPr>
          <w:rFonts w:ascii="Arial" w:hAnsi="Arial" w:cs="Arial"/>
          <w:lang w:eastAsia="cs-CZ"/>
        </w:rPr>
        <w:t>Po získání všech potřebných povolení</w:t>
      </w:r>
      <w:r w:rsidR="00B7779A">
        <w:rPr>
          <w:rFonts w:ascii="Arial" w:hAnsi="Arial" w:cs="Arial"/>
          <w:lang w:eastAsia="cs-CZ"/>
        </w:rPr>
        <w:t xml:space="preserve"> by na </w:t>
      </w:r>
      <w:r w:rsidR="00CC7F34">
        <w:rPr>
          <w:rFonts w:ascii="Arial" w:hAnsi="Arial" w:cs="Arial"/>
          <w:lang w:eastAsia="cs-CZ"/>
        </w:rPr>
        <w:t>p</w:t>
      </w:r>
      <w:r w:rsidR="00CF7C55">
        <w:rPr>
          <w:rFonts w:ascii="Arial" w:hAnsi="Arial" w:cs="Arial"/>
          <w:lang w:eastAsia="cs-CZ"/>
        </w:rPr>
        <w:t xml:space="preserve">ozemku </w:t>
      </w:r>
      <w:r w:rsidR="00B7779A">
        <w:rPr>
          <w:rFonts w:ascii="Arial" w:hAnsi="Arial" w:cs="Arial"/>
          <w:lang w:eastAsia="cs-CZ"/>
        </w:rPr>
        <w:t xml:space="preserve">mohlo vzniknout </w:t>
      </w:r>
      <w:r w:rsidR="006310B0">
        <w:rPr>
          <w:rFonts w:ascii="Arial" w:hAnsi="Arial" w:cs="Arial"/>
          <w:lang w:eastAsia="cs-CZ"/>
        </w:rPr>
        <w:t>kolem</w:t>
      </w:r>
      <w:r w:rsidR="00B7779A">
        <w:rPr>
          <w:rFonts w:ascii="Arial" w:hAnsi="Arial" w:cs="Arial"/>
          <w:lang w:eastAsia="cs-CZ"/>
        </w:rPr>
        <w:t xml:space="preserve"> 700</w:t>
      </w:r>
      <w:r w:rsidR="006310B0">
        <w:rPr>
          <w:rFonts w:ascii="Arial" w:hAnsi="Arial" w:cs="Arial"/>
          <w:lang w:eastAsia="cs-CZ"/>
        </w:rPr>
        <w:t xml:space="preserve"> nových moderních</w:t>
      </w:r>
      <w:r w:rsidR="00B7779A">
        <w:rPr>
          <w:rFonts w:ascii="Arial" w:hAnsi="Arial" w:cs="Arial"/>
          <w:lang w:eastAsia="cs-CZ"/>
        </w:rPr>
        <w:t xml:space="preserve"> bytů a směrem do ulice Poděbradská také </w:t>
      </w:r>
      <w:r w:rsidR="00CF7C55">
        <w:rPr>
          <w:rFonts w:ascii="Arial" w:hAnsi="Arial" w:cs="Arial"/>
          <w:lang w:eastAsia="cs-CZ"/>
        </w:rPr>
        <w:t xml:space="preserve">komerční </w:t>
      </w:r>
      <w:r w:rsidR="00B7779A">
        <w:rPr>
          <w:rFonts w:ascii="Arial" w:hAnsi="Arial" w:cs="Arial"/>
          <w:lang w:eastAsia="cs-CZ"/>
        </w:rPr>
        <w:t>jednotky</w:t>
      </w:r>
      <w:r w:rsidR="00CF7C55">
        <w:rPr>
          <w:rFonts w:ascii="Arial" w:hAnsi="Arial" w:cs="Arial"/>
          <w:lang w:eastAsia="cs-CZ"/>
        </w:rPr>
        <w:t xml:space="preserve"> vhodné pro maloobchod nebo provozování služeb</w:t>
      </w:r>
      <w:r w:rsidR="00B7779A">
        <w:rPr>
          <w:rFonts w:ascii="Arial" w:hAnsi="Arial" w:cs="Arial"/>
          <w:lang w:eastAsia="cs-CZ"/>
        </w:rPr>
        <w:t xml:space="preserve">. </w:t>
      </w:r>
      <w:r w:rsidR="00CF7C55">
        <w:rPr>
          <w:rFonts w:ascii="Arial" w:hAnsi="Arial" w:cs="Arial"/>
          <w:lang w:eastAsia="cs-CZ"/>
        </w:rPr>
        <w:t xml:space="preserve">Investiční hodnota </w:t>
      </w:r>
      <w:r>
        <w:rPr>
          <w:rFonts w:ascii="Arial" w:hAnsi="Arial" w:cs="Arial"/>
          <w:lang w:eastAsia="cs-CZ"/>
        </w:rPr>
        <w:t xml:space="preserve">tohoto </w:t>
      </w:r>
      <w:r w:rsidR="00CF7C55" w:rsidRPr="00EC7D0B">
        <w:rPr>
          <w:rFonts w:ascii="Arial" w:hAnsi="Arial" w:cs="Arial"/>
          <w:color w:val="000000" w:themeColor="text1"/>
          <w:lang w:eastAsia="cs-CZ"/>
        </w:rPr>
        <w:t>plánovaného projektu převyšuje 2 miliardy korun.</w:t>
      </w:r>
    </w:p>
    <w:p w:rsidR="00B7779A" w:rsidRDefault="00B7779A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50686" w:rsidRDefault="00CF7C55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850686">
        <w:rPr>
          <w:rFonts w:ascii="Arial" w:hAnsi="Arial" w:cs="Arial"/>
          <w:i/>
          <w:lang w:eastAsia="cs-CZ"/>
        </w:rPr>
        <w:t>„</w:t>
      </w:r>
      <w:r w:rsidR="00A10B8A">
        <w:rPr>
          <w:rFonts w:ascii="Arial" w:hAnsi="Arial" w:cs="Arial"/>
          <w:i/>
          <w:lang w:eastAsia="cs-CZ"/>
        </w:rPr>
        <w:t>N</w:t>
      </w:r>
      <w:r w:rsidRPr="00850686">
        <w:rPr>
          <w:rFonts w:ascii="Arial" w:hAnsi="Arial" w:cs="Arial"/>
          <w:i/>
          <w:lang w:eastAsia="cs-CZ"/>
        </w:rPr>
        <w:t>evyužívan</w:t>
      </w:r>
      <w:r w:rsidR="00A10B8A">
        <w:rPr>
          <w:rFonts w:ascii="Arial" w:hAnsi="Arial" w:cs="Arial"/>
          <w:i/>
          <w:lang w:eastAsia="cs-CZ"/>
        </w:rPr>
        <w:t xml:space="preserve">é, chátrající nebo </w:t>
      </w:r>
      <w:r w:rsidR="00CC7F34">
        <w:rPr>
          <w:rFonts w:ascii="Arial" w:hAnsi="Arial" w:cs="Arial"/>
          <w:i/>
          <w:lang w:eastAsia="cs-CZ"/>
        </w:rPr>
        <w:t>kontamin</w:t>
      </w:r>
      <w:r w:rsidR="00A10B8A">
        <w:rPr>
          <w:rFonts w:ascii="Arial" w:hAnsi="Arial" w:cs="Arial"/>
          <w:i/>
          <w:lang w:eastAsia="cs-CZ"/>
        </w:rPr>
        <w:t xml:space="preserve">ované </w:t>
      </w:r>
      <w:proofErr w:type="spellStart"/>
      <w:r w:rsidR="00A10B8A">
        <w:rPr>
          <w:rFonts w:ascii="Arial" w:hAnsi="Arial" w:cs="Arial"/>
          <w:i/>
          <w:lang w:eastAsia="cs-CZ"/>
        </w:rPr>
        <w:t>brownfieldy</w:t>
      </w:r>
      <w:proofErr w:type="spellEnd"/>
      <w:r w:rsidR="00A10B8A">
        <w:rPr>
          <w:rFonts w:ascii="Arial" w:hAnsi="Arial" w:cs="Arial"/>
          <w:i/>
          <w:lang w:eastAsia="cs-CZ"/>
        </w:rPr>
        <w:t xml:space="preserve"> </w:t>
      </w:r>
      <w:r w:rsidR="00850686" w:rsidRPr="00850686">
        <w:rPr>
          <w:rFonts w:ascii="Arial" w:hAnsi="Arial" w:cs="Arial"/>
          <w:i/>
          <w:lang w:eastAsia="cs-CZ"/>
        </w:rPr>
        <w:t xml:space="preserve">jsou </w:t>
      </w:r>
      <w:r w:rsidR="008A5264">
        <w:rPr>
          <w:rFonts w:ascii="Arial" w:hAnsi="Arial" w:cs="Arial"/>
          <w:i/>
          <w:lang w:eastAsia="cs-CZ"/>
        </w:rPr>
        <w:t>otevřenou</w:t>
      </w:r>
      <w:r w:rsidR="00850686" w:rsidRPr="00850686">
        <w:rPr>
          <w:rFonts w:ascii="Arial" w:hAnsi="Arial" w:cs="Arial"/>
          <w:i/>
          <w:lang w:eastAsia="cs-CZ"/>
        </w:rPr>
        <w:t xml:space="preserve"> jizvou na tváři Prahy. Snažit se pro ně nalézt </w:t>
      </w:r>
      <w:r w:rsidR="00A10B8A">
        <w:rPr>
          <w:rFonts w:ascii="Arial" w:hAnsi="Arial" w:cs="Arial"/>
          <w:i/>
          <w:lang w:eastAsia="cs-CZ"/>
        </w:rPr>
        <w:t xml:space="preserve">nový smysl a </w:t>
      </w:r>
      <w:r w:rsidR="00850686" w:rsidRPr="00850686">
        <w:rPr>
          <w:rFonts w:ascii="Arial" w:hAnsi="Arial" w:cs="Arial"/>
          <w:i/>
          <w:lang w:eastAsia="cs-CZ"/>
        </w:rPr>
        <w:t xml:space="preserve">nové funkční využití by mělo být hlavním úkolem nejen soukromých investorů, ale i představitelů města. </w:t>
      </w:r>
      <w:r w:rsidR="00A10B8A">
        <w:rPr>
          <w:rFonts w:ascii="Arial" w:hAnsi="Arial" w:cs="Arial"/>
          <w:i/>
          <w:lang w:eastAsia="cs-CZ"/>
        </w:rPr>
        <w:t>My</w:t>
      </w:r>
      <w:r w:rsidR="00850686" w:rsidRPr="00850686">
        <w:rPr>
          <w:rFonts w:ascii="Arial" w:hAnsi="Arial" w:cs="Arial"/>
          <w:i/>
          <w:lang w:eastAsia="cs-CZ"/>
        </w:rPr>
        <w:t xml:space="preserve"> chce</w:t>
      </w:r>
      <w:r w:rsidR="00A10B8A">
        <w:rPr>
          <w:rFonts w:ascii="Arial" w:hAnsi="Arial" w:cs="Arial"/>
          <w:i/>
          <w:lang w:eastAsia="cs-CZ"/>
        </w:rPr>
        <w:t>me</w:t>
      </w:r>
      <w:r w:rsidR="00850686" w:rsidRPr="00850686">
        <w:rPr>
          <w:rFonts w:ascii="Arial" w:hAnsi="Arial" w:cs="Arial"/>
          <w:i/>
          <w:lang w:eastAsia="cs-CZ"/>
        </w:rPr>
        <w:t xml:space="preserve"> jít coby </w:t>
      </w:r>
      <w:r w:rsidR="006310B0">
        <w:rPr>
          <w:rFonts w:ascii="Arial" w:hAnsi="Arial" w:cs="Arial"/>
          <w:i/>
          <w:lang w:eastAsia="cs-CZ"/>
        </w:rPr>
        <w:t xml:space="preserve">největší český rezidenční developer </w:t>
      </w:r>
      <w:r w:rsidR="00850686" w:rsidRPr="00850686">
        <w:rPr>
          <w:rFonts w:ascii="Arial" w:hAnsi="Arial" w:cs="Arial"/>
          <w:i/>
          <w:lang w:eastAsia="cs-CZ"/>
        </w:rPr>
        <w:t>příkladem</w:t>
      </w:r>
      <w:r w:rsidR="00A10B8A">
        <w:rPr>
          <w:rFonts w:ascii="Arial" w:hAnsi="Arial" w:cs="Arial"/>
          <w:i/>
          <w:lang w:eastAsia="cs-CZ"/>
        </w:rPr>
        <w:t>,</w:t>
      </w:r>
      <w:r w:rsidR="00CC7F34">
        <w:rPr>
          <w:rFonts w:ascii="Arial" w:hAnsi="Arial" w:cs="Arial"/>
          <w:i/>
          <w:lang w:eastAsia="cs-CZ"/>
        </w:rPr>
        <w:t xml:space="preserve"> a</w:t>
      </w:r>
      <w:r w:rsidR="00A10B8A">
        <w:rPr>
          <w:rFonts w:ascii="Arial" w:hAnsi="Arial" w:cs="Arial"/>
          <w:i/>
          <w:lang w:eastAsia="cs-CZ"/>
        </w:rPr>
        <w:t xml:space="preserve"> proto právě </w:t>
      </w:r>
      <w:r w:rsidR="00850686" w:rsidRPr="00850686">
        <w:rPr>
          <w:rFonts w:ascii="Arial" w:hAnsi="Arial" w:cs="Arial"/>
          <w:i/>
          <w:lang w:eastAsia="cs-CZ"/>
        </w:rPr>
        <w:t xml:space="preserve">komplexní urbanistický rozvoj </w:t>
      </w:r>
      <w:proofErr w:type="spellStart"/>
      <w:r w:rsidR="00850686" w:rsidRPr="00850686">
        <w:rPr>
          <w:rFonts w:ascii="Arial" w:hAnsi="Arial" w:cs="Arial"/>
          <w:i/>
          <w:lang w:eastAsia="cs-CZ"/>
        </w:rPr>
        <w:t>brownfieldů</w:t>
      </w:r>
      <w:proofErr w:type="spellEnd"/>
      <w:r w:rsidR="00850686" w:rsidRPr="00850686">
        <w:rPr>
          <w:rFonts w:ascii="Arial" w:hAnsi="Arial" w:cs="Arial"/>
          <w:i/>
          <w:lang w:eastAsia="cs-CZ"/>
        </w:rPr>
        <w:t xml:space="preserve"> bude do budoucna naší hlavní činností</w:t>
      </w:r>
      <w:r w:rsidR="006310B0">
        <w:rPr>
          <w:rFonts w:ascii="Arial" w:hAnsi="Arial" w:cs="Arial"/>
          <w:i/>
          <w:lang w:eastAsia="cs-CZ"/>
        </w:rPr>
        <w:t xml:space="preserve">. Naše největší projekty pro příští roky čítají zhruba 8000 nových bytů, které bychom rádi realizovali na několika našich </w:t>
      </w:r>
      <w:proofErr w:type="spellStart"/>
      <w:r w:rsidR="006310B0">
        <w:rPr>
          <w:rFonts w:ascii="Arial" w:hAnsi="Arial" w:cs="Arial"/>
          <w:i/>
          <w:lang w:eastAsia="cs-CZ"/>
        </w:rPr>
        <w:t>brownfieldech</w:t>
      </w:r>
      <w:proofErr w:type="spellEnd"/>
      <w:r w:rsidR="008A5264">
        <w:rPr>
          <w:rFonts w:ascii="Arial" w:hAnsi="Arial" w:cs="Arial"/>
          <w:i/>
          <w:lang w:eastAsia="cs-CZ"/>
        </w:rPr>
        <w:t>,</w:t>
      </w:r>
      <w:r w:rsidR="00850686" w:rsidRPr="00850686">
        <w:rPr>
          <w:rFonts w:ascii="Arial" w:hAnsi="Arial" w:cs="Arial"/>
          <w:i/>
          <w:lang w:eastAsia="cs-CZ"/>
        </w:rPr>
        <w:t>“</w:t>
      </w:r>
      <w:r>
        <w:rPr>
          <w:rFonts w:ascii="Arial" w:hAnsi="Arial" w:cs="Arial"/>
          <w:lang w:eastAsia="cs-CZ"/>
        </w:rPr>
        <w:t xml:space="preserve"> říká Dušan Kunovský, předseda představenstva CENTRAL GROUP</w:t>
      </w:r>
      <w:r w:rsidR="00850686">
        <w:rPr>
          <w:rFonts w:ascii="Arial" w:hAnsi="Arial" w:cs="Arial"/>
          <w:lang w:eastAsia="cs-CZ"/>
        </w:rPr>
        <w:t xml:space="preserve">. </w:t>
      </w:r>
    </w:p>
    <w:p w:rsidR="00850686" w:rsidRDefault="00850686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06833" w:rsidRDefault="0035190E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Připomíná tak</w:t>
      </w:r>
      <w:r w:rsidR="00850686">
        <w:rPr>
          <w:rFonts w:ascii="Arial" w:hAnsi="Arial" w:cs="Arial"/>
          <w:lang w:eastAsia="cs-CZ"/>
        </w:rPr>
        <w:t xml:space="preserve"> i akvizice dalších </w:t>
      </w:r>
      <w:r w:rsidR="006310B0">
        <w:rPr>
          <w:rFonts w:ascii="Arial" w:hAnsi="Arial" w:cs="Arial"/>
          <w:lang w:eastAsia="cs-CZ"/>
        </w:rPr>
        <w:t>lokalit</w:t>
      </w:r>
      <w:r w:rsidR="00A10B8A">
        <w:rPr>
          <w:rFonts w:ascii="Arial" w:hAnsi="Arial" w:cs="Arial"/>
          <w:lang w:eastAsia="cs-CZ"/>
        </w:rPr>
        <w:t>, které CENTRAL GROUP realizoval již v</w:t>
      </w:r>
      <w:r w:rsidR="00850686">
        <w:rPr>
          <w:rFonts w:ascii="Arial" w:hAnsi="Arial" w:cs="Arial"/>
          <w:lang w:eastAsia="cs-CZ"/>
        </w:rPr>
        <w:t> </w:t>
      </w:r>
      <w:r w:rsidR="00A10B8A">
        <w:rPr>
          <w:rFonts w:ascii="Arial" w:hAnsi="Arial" w:cs="Arial"/>
          <w:lang w:eastAsia="cs-CZ"/>
        </w:rPr>
        <w:t>mi</w:t>
      </w:r>
      <w:r w:rsidR="00850686">
        <w:rPr>
          <w:rFonts w:ascii="Arial" w:hAnsi="Arial" w:cs="Arial"/>
          <w:lang w:eastAsia="cs-CZ"/>
        </w:rPr>
        <w:t xml:space="preserve">nulých letech – například areálu bývalé továrny Praga v Praze 5 – Zličíně, </w:t>
      </w:r>
      <w:r w:rsidR="006310B0">
        <w:rPr>
          <w:rFonts w:ascii="Arial" w:hAnsi="Arial" w:cs="Arial"/>
          <w:lang w:eastAsia="cs-CZ"/>
        </w:rPr>
        <w:t xml:space="preserve">velkého průmyslového </w:t>
      </w:r>
      <w:r w:rsidR="00850686">
        <w:rPr>
          <w:rFonts w:ascii="Arial" w:hAnsi="Arial" w:cs="Arial"/>
          <w:lang w:eastAsia="cs-CZ"/>
        </w:rPr>
        <w:t xml:space="preserve">pozemku v sousedství České televize </w:t>
      </w:r>
      <w:r w:rsidR="00A10B8A">
        <w:rPr>
          <w:rFonts w:ascii="Arial" w:hAnsi="Arial" w:cs="Arial"/>
          <w:lang w:eastAsia="cs-CZ"/>
        </w:rPr>
        <w:t>na</w:t>
      </w:r>
      <w:r w:rsidR="00850686">
        <w:rPr>
          <w:rFonts w:ascii="Arial" w:hAnsi="Arial" w:cs="Arial"/>
          <w:lang w:eastAsia="cs-CZ"/>
        </w:rPr>
        <w:t xml:space="preserve"> Kavčích Horách </w:t>
      </w:r>
      <w:r w:rsidR="00A10B8A">
        <w:rPr>
          <w:rFonts w:ascii="Arial" w:hAnsi="Arial" w:cs="Arial"/>
          <w:lang w:eastAsia="cs-CZ"/>
        </w:rPr>
        <w:t xml:space="preserve">v Praze 4 </w:t>
      </w:r>
      <w:r w:rsidR="00850686">
        <w:rPr>
          <w:rFonts w:ascii="Arial" w:hAnsi="Arial" w:cs="Arial"/>
          <w:lang w:eastAsia="cs-CZ"/>
        </w:rPr>
        <w:t xml:space="preserve">nebo </w:t>
      </w:r>
      <w:r w:rsidR="006310B0">
        <w:rPr>
          <w:rFonts w:ascii="Arial" w:hAnsi="Arial" w:cs="Arial"/>
          <w:lang w:eastAsia="cs-CZ"/>
        </w:rPr>
        <w:t xml:space="preserve">rozsáhlého </w:t>
      </w:r>
      <w:r w:rsidR="00850686">
        <w:rPr>
          <w:rFonts w:ascii="Arial" w:hAnsi="Arial" w:cs="Arial"/>
          <w:lang w:eastAsia="cs-CZ"/>
        </w:rPr>
        <w:t xml:space="preserve">skladového areálu </w:t>
      </w:r>
      <w:proofErr w:type="spellStart"/>
      <w:r w:rsidR="00850686">
        <w:rPr>
          <w:rFonts w:ascii="Arial" w:hAnsi="Arial" w:cs="Arial"/>
          <w:lang w:eastAsia="cs-CZ"/>
        </w:rPr>
        <w:t>Westpoint</w:t>
      </w:r>
      <w:proofErr w:type="spellEnd"/>
      <w:r w:rsidR="00850686">
        <w:rPr>
          <w:rFonts w:ascii="Arial" w:hAnsi="Arial" w:cs="Arial"/>
          <w:lang w:eastAsia="cs-CZ"/>
        </w:rPr>
        <w:t xml:space="preserve"> na pomezí Ruzyně a Liboce</w:t>
      </w:r>
      <w:r w:rsidR="00CC7F34" w:rsidRPr="00CC7F34">
        <w:rPr>
          <w:rFonts w:ascii="Arial" w:hAnsi="Arial" w:cs="Arial"/>
          <w:lang w:eastAsia="cs-CZ"/>
        </w:rPr>
        <w:t xml:space="preserve"> </w:t>
      </w:r>
      <w:r w:rsidR="00CC7F34">
        <w:rPr>
          <w:rFonts w:ascii="Arial" w:hAnsi="Arial" w:cs="Arial"/>
          <w:lang w:eastAsia="cs-CZ"/>
        </w:rPr>
        <w:t>v Praze 6</w:t>
      </w:r>
      <w:r w:rsidR="00CF7C55">
        <w:rPr>
          <w:rFonts w:ascii="Arial" w:hAnsi="Arial" w:cs="Arial"/>
          <w:lang w:eastAsia="cs-CZ"/>
        </w:rPr>
        <w:t>.</w:t>
      </w:r>
    </w:p>
    <w:p w:rsidR="00CF7C55" w:rsidRDefault="00CF7C55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50686" w:rsidRDefault="00850686" w:rsidP="005837E9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r w:rsidRPr="00850686">
        <w:rPr>
          <w:rFonts w:ascii="Arial" w:hAnsi="Arial" w:cs="Arial"/>
          <w:b/>
          <w:sz w:val="23"/>
          <w:szCs w:val="23"/>
          <w:lang w:eastAsia="cs-CZ"/>
        </w:rPr>
        <w:lastRenderedPageBreak/>
        <w:t xml:space="preserve">Blíže centru </w:t>
      </w:r>
    </w:p>
    <w:p w:rsidR="00850686" w:rsidRPr="00850686" w:rsidRDefault="00850686" w:rsidP="005837E9">
      <w:pPr>
        <w:spacing w:after="0"/>
        <w:contextualSpacing/>
        <w:jc w:val="both"/>
        <w:rPr>
          <w:rFonts w:ascii="Arial" w:hAnsi="Arial" w:cs="Arial"/>
          <w:b/>
          <w:sz w:val="6"/>
          <w:szCs w:val="6"/>
          <w:lang w:eastAsia="cs-CZ"/>
        </w:rPr>
      </w:pPr>
    </w:p>
    <w:p w:rsidR="00B7779A" w:rsidRDefault="00B7779A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Z hlediska </w:t>
      </w:r>
      <w:r w:rsidR="0035190E">
        <w:rPr>
          <w:rFonts w:ascii="Arial" w:hAnsi="Arial" w:cs="Arial"/>
          <w:lang w:eastAsia="cs-CZ"/>
        </w:rPr>
        <w:t xml:space="preserve">celé velké </w:t>
      </w:r>
      <w:r>
        <w:rPr>
          <w:rFonts w:ascii="Arial" w:hAnsi="Arial" w:cs="Arial"/>
          <w:lang w:eastAsia="cs-CZ"/>
        </w:rPr>
        <w:t>rozvojové lokality Vysočan</w:t>
      </w:r>
      <w:r w:rsidR="00CF7C55">
        <w:rPr>
          <w:rFonts w:ascii="Arial" w:hAnsi="Arial" w:cs="Arial"/>
          <w:lang w:eastAsia="cs-CZ"/>
        </w:rPr>
        <w:t xml:space="preserve">, kde se </w:t>
      </w:r>
      <w:r w:rsidR="008A5264">
        <w:rPr>
          <w:rFonts w:ascii="Arial" w:hAnsi="Arial" w:cs="Arial"/>
          <w:lang w:eastAsia="cs-CZ"/>
        </w:rPr>
        <w:t xml:space="preserve">na relativně malém území </w:t>
      </w:r>
      <w:r w:rsidR="00CF7C55">
        <w:rPr>
          <w:rFonts w:ascii="Arial" w:hAnsi="Arial" w:cs="Arial"/>
          <w:lang w:eastAsia="cs-CZ"/>
        </w:rPr>
        <w:t xml:space="preserve">nachází hned několik </w:t>
      </w:r>
      <w:proofErr w:type="spellStart"/>
      <w:r w:rsidR="00CF7C55">
        <w:rPr>
          <w:rFonts w:ascii="Arial" w:hAnsi="Arial" w:cs="Arial"/>
          <w:lang w:eastAsia="cs-CZ"/>
        </w:rPr>
        <w:t>brownfieldů</w:t>
      </w:r>
      <w:proofErr w:type="spellEnd"/>
      <w:r w:rsidR="00CF7C55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se jedná o </w:t>
      </w:r>
      <w:r w:rsidR="0035190E">
        <w:rPr>
          <w:rFonts w:ascii="Arial" w:hAnsi="Arial" w:cs="Arial"/>
          <w:lang w:eastAsia="cs-CZ"/>
        </w:rPr>
        <w:t>nejlépe dopravně dostupná</w:t>
      </w:r>
      <w:r w:rsidR="00CC7F34">
        <w:rPr>
          <w:rFonts w:ascii="Arial" w:hAnsi="Arial" w:cs="Arial"/>
          <w:lang w:eastAsia="cs-CZ"/>
        </w:rPr>
        <w:t xml:space="preserve"> mís</w:t>
      </w:r>
      <w:r w:rsidR="00CF7C55">
        <w:rPr>
          <w:rFonts w:ascii="Arial" w:hAnsi="Arial" w:cs="Arial"/>
          <w:lang w:eastAsia="cs-CZ"/>
        </w:rPr>
        <w:t>t</w:t>
      </w:r>
      <w:r w:rsidR="0035190E">
        <w:rPr>
          <w:rFonts w:ascii="Arial" w:hAnsi="Arial" w:cs="Arial"/>
          <w:lang w:eastAsia="cs-CZ"/>
        </w:rPr>
        <w:t>a</w:t>
      </w:r>
      <w:r w:rsidR="00CF7C55">
        <w:rPr>
          <w:rFonts w:ascii="Arial" w:hAnsi="Arial" w:cs="Arial"/>
          <w:lang w:eastAsia="cs-CZ"/>
        </w:rPr>
        <w:t xml:space="preserve"> s vynikajícím spojením do centra. Přímo</w:t>
      </w:r>
      <w:r w:rsidR="00850686">
        <w:rPr>
          <w:rFonts w:ascii="Arial" w:hAnsi="Arial" w:cs="Arial"/>
          <w:lang w:eastAsia="cs-CZ"/>
        </w:rPr>
        <w:t xml:space="preserve"> u </w:t>
      </w:r>
      <w:r w:rsidR="0035190E">
        <w:rPr>
          <w:rFonts w:ascii="Arial" w:hAnsi="Arial" w:cs="Arial"/>
          <w:lang w:eastAsia="cs-CZ"/>
        </w:rPr>
        <w:t xml:space="preserve">obou </w:t>
      </w:r>
      <w:r w:rsidR="00850686">
        <w:rPr>
          <w:rFonts w:ascii="Arial" w:hAnsi="Arial" w:cs="Arial"/>
          <w:lang w:eastAsia="cs-CZ"/>
        </w:rPr>
        <w:t>pozemk</w:t>
      </w:r>
      <w:r w:rsidR="00D30CE1">
        <w:rPr>
          <w:rFonts w:ascii="Arial" w:hAnsi="Arial" w:cs="Arial"/>
          <w:lang w:eastAsia="cs-CZ"/>
        </w:rPr>
        <w:t>ů</w:t>
      </w:r>
      <w:r w:rsidR="00850686">
        <w:rPr>
          <w:rFonts w:ascii="Arial" w:hAnsi="Arial" w:cs="Arial"/>
          <w:lang w:eastAsia="cs-CZ"/>
        </w:rPr>
        <w:t xml:space="preserve"> je </w:t>
      </w:r>
      <w:r w:rsidR="00D30CE1">
        <w:rPr>
          <w:rFonts w:ascii="Arial" w:hAnsi="Arial" w:cs="Arial"/>
          <w:lang w:eastAsia="cs-CZ"/>
        </w:rPr>
        <w:t xml:space="preserve">vždy </w:t>
      </w:r>
      <w:r w:rsidR="00850686">
        <w:rPr>
          <w:rFonts w:ascii="Arial" w:hAnsi="Arial" w:cs="Arial"/>
          <w:lang w:eastAsia="cs-CZ"/>
        </w:rPr>
        <w:t xml:space="preserve">zastávka tramvaje, v docházkové vzdálenosti jsou hned dvě stanice metra a </w:t>
      </w:r>
      <w:r w:rsidR="00A10B8A">
        <w:rPr>
          <w:rFonts w:ascii="Arial" w:hAnsi="Arial" w:cs="Arial"/>
          <w:lang w:eastAsia="cs-CZ"/>
        </w:rPr>
        <w:t xml:space="preserve">také </w:t>
      </w:r>
      <w:r w:rsidR="00850686">
        <w:rPr>
          <w:rFonts w:ascii="Arial" w:hAnsi="Arial" w:cs="Arial"/>
          <w:lang w:eastAsia="cs-CZ"/>
        </w:rPr>
        <w:t xml:space="preserve">dvě velká nákupní a zábavní centra. </w:t>
      </w:r>
    </w:p>
    <w:p w:rsidR="00850686" w:rsidRDefault="00850686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50686" w:rsidRDefault="00850686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195CD4">
        <w:rPr>
          <w:rFonts w:ascii="Arial" w:hAnsi="Arial" w:cs="Arial"/>
          <w:i/>
          <w:lang w:eastAsia="cs-CZ"/>
        </w:rPr>
        <w:t xml:space="preserve">„Trend jednoznačně směřuje k rozvoji </w:t>
      </w:r>
      <w:r w:rsidR="00A10B8A" w:rsidRPr="00195CD4">
        <w:rPr>
          <w:rFonts w:ascii="Arial" w:hAnsi="Arial" w:cs="Arial"/>
          <w:i/>
          <w:lang w:eastAsia="cs-CZ"/>
        </w:rPr>
        <w:t xml:space="preserve">již existujících </w:t>
      </w:r>
      <w:r w:rsidRPr="00195CD4">
        <w:rPr>
          <w:rFonts w:ascii="Arial" w:hAnsi="Arial" w:cs="Arial"/>
          <w:i/>
          <w:lang w:eastAsia="cs-CZ"/>
        </w:rPr>
        <w:t xml:space="preserve">lokalit </w:t>
      </w:r>
      <w:r w:rsidR="00A10B8A" w:rsidRPr="00195CD4">
        <w:rPr>
          <w:rFonts w:ascii="Arial" w:hAnsi="Arial" w:cs="Arial"/>
          <w:i/>
          <w:lang w:eastAsia="cs-CZ"/>
        </w:rPr>
        <w:t xml:space="preserve">s fungující infrastrukturou a </w:t>
      </w:r>
      <w:r w:rsidRPr="00195CD4">
        <w:rPr>
          <w:rFonts w:ascii="Arial" w:hAnsi="Arial" w:cs="Arial"/>
          <w:i/>
          <w:lang w:eastAsia="cs-CZ"/>
        </w:rPr>
        <w:t>blíže centru města</w:t>
      </w:r>
      <w:r w:rsidR="00A10B8A" w:rsidRPr="00195CD4">
        <w:rPr>
          <w:rFonts w:ascii="Arial" w:hAnsi="Arial" w:cs="Arial"/>
          <w:i/>
          <w:lang w:eastAsia="cs-CZ"/>
        </w:rPr>
        <w:t>, namísto dalšího rozlézání Prahy do polí</w:t>
      </w:r>
      <w:r w:rsidR="006310B0">
        <w:rPr>
          <w:rFonts w:ascii="Arial" w:hAnsi="Arial" w:cs="Arial"/>
          <w:i/>
          <w:lang w:eastAsia="cs-CZ"/>
        </w:rPr>
        <w:t xml:space="preserve"> na okrajích metropole</w:t>
      </w:r>
      <w:r w:rsidR="00A10B8A" w:rsidRPr="00195CD4">
        <w:rPr>
          <w:rFonts w:ascii="Arial" w:hAnsi="Arial" w:cs="Arial"/>
          <w:i/>
          <w:lang w:eastAsia="cs-CZ"/>
        </w:rPr>
        <w:t>. Myslím si, že jde o trend správný</w:t>
      </w:r>
      <w:r w:rsidR="00195CD4" w:rsidRPr="00195CD4">
        <w:rPr>
          <w:rFonts w:ascii="Arial" w:hAnsi="Arial" w:cs="Arial"/>
          <w:i/>
          <w:lang w:eastAsia="cs-CZ"/>
        </w:rPr>
        <w:t>,</w:t>
      </w:r>
      <w:r w:rsidR="00A10B8A" w:rsidRPr="00195CD4">
        <w:rPr>
          <w:rFonts w:ascii="Arial" w:hAnsi="Arial" w:cs="Arial"/>
          <w:i/>
          <w:lang w:eastAsia="cs-CZ"/>
        </w:rPr>
        <w:t xml:space="preserve"> a proto ke všem našim </w:t>
      </w:r>
      <w:proofErr w:type="spellStart"/>
      <w:r w:rsidR="00A10B8A" w:rsidRPr="00195CD4">
        <w:rPr>
          <w:rFonts w:ascii="Arial" w:hAnsi="Arial" w:cs="Arial"/>
          <w:i/>
          <w:lang w:eastAsia="cs-CZ"/>
        </w:rPr>
        <w:t>brownfieldům</w:t>
      </w:r>
      <w:proofErr w:type="spellEnd"/>
      <w:r w:rsidR="00A10B8A" w:rsidRPr="00195CD4">
        <w:rPr>
          <w:rFonts w:ascii="Arial" w:hAnsi="Arial" w:cs="Arial"/>
          <w:i/>
          <w:lang w:eastAsia="cs-CZ"/>
        </w:rPr>
        <w:t xml:space="preserve"> chceme přistupovat komplexně </w:t>
      </w:r>
      <w:r w:rsidRPr="00195CD4">
        <w:rPr>
          <w:rFonts w:ascii="Arial" w:hAnsi="Arial" w:cs="Arial"/>
          <w:i/>
          <w:lang w:eastAsia="cs-CZ"/>
        </w:rPr>
        <w:t xml:space="preserve">včetně dalších funkcí, jako </w:t>
      </w:r>
      <w:r w:rsidR="00195CD4" w:rsidRPr="00195CD4">
        <w:rPr>
          <w:rFonts w:ascii="Arial" w:hAnsi="Arial" w:cs="Arial"/>
          <w:i/>
          <w:lang w:eastAsia="cs-CZ"/>
        </w:rPr>
        <w:t>j</w:t>
      </w:r>
      <w:r w:rsidR="0035190E">
        <w:rPr>
          <w:rFonts w:ascii="Arial" w:hAnsi="Arial" w:cs="Arial"/>
          <w:i/>
          <w:lang w:eastAsia="cs-CZ"/>
        </w:rPr>
        <w:t>sou</w:t>
      </w:r>
      <w:r w:rsidR="00195CD4" w:rsidRPr="00195CD4">
        <w:rPr>
          <w:rFonts w:ascii="Arial" w:hAnsi="Arial" w:cs="Arial"/>
          <w:i/>
          <w:lang w:eastAsia="cs-CZ"/>
        </w:rPr>
        <w:t xml:space="preserve"> maloobchod a </w:t>
      </w:r>
      <w:r w:rsidR="0035190E">
        <w:rPr>
          <w:rFonts w:ascii="Arial" w:hAnsi="Arial" w:cs="Arial"/>
          <w:i/>
          <w:lang w:eastAsia="cs-CZ"/>
        </w:rPr>
        <w:t>reprezentativn</w:t>
      </w:r>
      <w:r w:rsidR="00195CD4" w:rsidRPr="00195CD4">
        <w:rPr>
          <w:rFonts w:ascii="Arial" w:hAnsi="Arial" w:cs="Arial"/>
          <w:i/>
          <w:lang w:eastAsia="cs-CZ"/>
        </w:rPr>
        <w:t xml:space="preserve">í služby, ale i </w:t>
      </w:r>
      <w:r w:rsidR="00A10B8A" w:rsidRPr="00195CD4">
        <w:rPr>
          <w:rFonts w:ascii="Arial" w:hAnsi="Arial" w:cs="Arial"/>
          <w:i/>
          <w:lang w:eastAsia="cs-CZ"/>
        </w:rPr>
        <w:t>tvorba hodnotného veřejného prostoru</w:t>
      </w:r>
      <w:r w:rsidR="006310B0">
        <w:rPr>
          <w:rFonts w:ascii="Arial" w:hAnsi="Arial" w:cs="Arial"/>
          <w:i/>
          <w:lang w:eastAsia="cs-CZ"/>
        </w:rPr>
        <w:t xml:space="preserve"> a rozšíření zeleně</w:t>
      </w:r>
      <w:r w:rsidR="00195CD4" w:rsidRPr="00195CD4">
        <w:rPr>
          <w:rFonts w:ascii="Arial" w:hAnsi="Arial" w:cs="Arial"/>
          <w:i/>
          <w:lang w:eastAsia="cs-CZ"/>
        </w:rPr>
        <w:t>,“</w:t>
      </w:r>
      <w:r w:rsidR="00195CD4">
        <w:rPr>
          <w:rFonts w:ascii="Arial" w:hAnsi="Arial" w:cs="Arial"/>
          <w:lang w:eastAsia="cs-CZ"/>
        </w:rPr>
        <w:t xml:space="preserve"> doplňuje Kunovský</w:t>
      </w:r>
      <w:r w:rsidR="00A10B8A">
        <w:rPr>
          <w:rFonts w:ascii="Arial" w:hAnsi="Arial" w:cs="Arial"/>
          <w:lang w:eastAsia="cs-CZ"/>
        </w:rPr>
        <w:t xml:space="preserve">. </w:t>
      </w:r>
    </w:p>
    <w:p w:rsidR="00D30CE1" w:rsidRDefault="00D30CE1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7779A" w:rsidRPr="00195CD4" w:rsidRDefault="00195CD4" w:rsidP="005837E9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r w:rsidRPr="00195CD4">
        <w:rPr>
          <w:rFonts w:ascii="Arial" w:hAnsi="Arial" w:cs="Arial"/>
          <w:b/>
          <w:sz w:val="23"/>
          <w:szCs w:val="23"/>
          <w:lang w:eastAsia="cs-CZ"/>
        </w:rPr>
        <w:t xml:space="preserve">Další nové pozemky i velké </w:t>
      </w:r>
      <w:proofErr w:type="spellStart"/>
      <w:r w:rsidRPr="00195CD4">
        <w:rPr>
          <w:rFonts w:ascii="Arial" w:hAnsi="Arial" w:cs="Arial"/>
          <w:b/>
          <w:sz w:val="23"/>
          <w:szCs w:val="23"/>
          <w:lang w:eastAsia="cs-CZ"/>
        </w:rPr>
        <w:t>brownfieldy</w:t>
      </w:r>
      <w:proofErr w:type="spellEnd"/>
      <w:r w:rsidRPr="00195CD4">
        <w:rPr>
          <w:rFonts w:ascii="Arial" w:hAnsi="Arial" w:cs="Arial"/>
          <w:b/>
          <w:sz w:val="23"/>
          <w:szCs w:val="23"/>
          <w:lang w:eastAsia="cs-CZ"/>
        </w:rPr>
        <w:t xml:space="preserve"> v jednání</w:t>
      </w:r>
    </w:p>
    <w:p w:rsidR="00195CD4" w:rsidRPr="00195CD4" w:rsidRDefault="00195CD4" w:rsidP="005837E9">
      <w:pPr>
        <w:spacing w:after="0"/>
        <w:contextualSpacing/>
        <w:jc w:val="both"/>
        <w:rPr>
          <w:rFonts w:ascii="Arial" w:hAnsi="Arial" w:cs="Arial"/>
          <w:sz w:val="6"/>
          <w:szCs w:val="6"/>
          <w:lang w:eastAsia="cs-CZ"/>
        </w:rPr>
      </w:pPr>
    </w:p>
    <w:p w:rsidR="00195CD4" w:rsidRDefault="005837E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5837E9">
        <w:rPr>
          <w:rFonts w:ascii="Arial" w:hAnsi="Arial" w:cs="Arial"/>
          <w:lang w:eastAsia="cs-CZ"/>
        </w:rPr>
        <w:t xml:space="preserve">Největší český rezidenční developer a investor CENTRAL GROUP </w:t>
      </w:r>
      <w:r w:rsidR="00B7779A">
        <w:rPr>
          <w:rFonts w:ascii="Arial" w:hAnsi="Arial" w:cs="Arial"/>
          <w:lang w:eastAsia="cs-CZ"/>
        </w:rPr>
        <w:t xml:space="preserve">tak pokračuje v akvizičním tempu zatím rekordního roku </w:t>
      </w:r>
      <w:r w:rsidRPr="005837E9">
        <w:rPr>
          <w:rFonts w:ascii="Arial" w:hAnsi="Arial" w:cs="Arial"/>
          <w:lang w:eastAsia="cs-CZ"/>
        </w:rPr>
        <w:t xml:space="preserve">2014, kdy se stal s celkem 12 novými lokalitami </w:t>
      </w:r>
      <w:r w:rsidR="00B7779A">
        <w:rPr>
          <w:rFonts w:ascii="Arial" w:hAnsi="Arial" w:cs="Arial"/>
          <w:lang w:eastAsia="cs-CZ"/>
        </w:rPr>
        <w:t xml:space="preserve">za více než 1,5 miliardy korun </w:t>
      </w:r>
      <w:r w:rsidRPr="005837E9">
        <w:rPr>
          <w:rFonts w:ascii="Arial" w:hAnsi="Arial" w:cs="Arial"/>
          <w:lang w:eastAsia="cs-CZ"/>
        </w:rPr>
        <w:t>jednoznačně nejaktivnějším investorem</w:t>
      </w:r>
      <w:r w:rsidR="00B7779A">
        <w:rPr>
          <w:rFonts w:ascii="Arial" w:hAnsi="Arial" w:cs="Arial"/>
          <w:lang w:eastAsia="cs-CZ"/>
        </w:rPr>
        <w:t xml:space="preserve">. </w:t>
      </w:r>
    </w:p>
    <w:p w:rsidR="00195CD4" w:rsidRDefault="00195CD4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850686" w:rsidRDefault="00B7779A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Již v únoru letošního roku</w:t>
      </w:r>
      <w:r w:rsidR="00850686">
        <w:rPr>
          <w:rFonts w:ascii="Arial" w:hAnsi="Arial" w:cs="Arial"/>
          <w:lang w:eastAsia="cs-CZ"/>
        </w:rPr>
        <w:t xml:space="preserve"> </w:t>
      </w:r>
      <w:r w:rsidR="00195CD4">
        <w:rPr>
          <w:rFonts w:ascii="Arial" w:hAnsi="Arial" w:cs="Arial"/>
          <w:lang w:eastAsia="cs-CZ"/>
        </w:rPr>
        <w:t xml:space="preserve">firma </w:t>
      </w:r>
      <w:r w:rsidR="00850686">
        <w:rPr>
          <w:rFonts w:ascii="Arial" w:hAnsi="Arial" w:cs="Arial"/>
          <w:lang w:eastAsia="cs-CZ"/>
        </w:rPr>
        <w:t>zakoupil</w:t>
      </w:r>
      <w:r w:rsidR="00195CD4">
        <w:rPr>
          <w:rFonts w:ascii="Arial" w:hAnsi="Arial" w:cs="Arial"/>
          <w:lang w:eastAsia="cs-CZ"/>
        </w:rPr>
        <w:t>a</w:t>
      </w:r>
      <w:r w:rsidR="00850686">
        <w:rPr>
          <w:rFonts w:ascii="Arial" w:hAnsi="Arial" w:cs="Arial"/>
          <w:lang w:eastAsia="cs-CZ"/>
        </w:rPr>
        <w:t xml:space="preserve"> dva menší pozemky </w:t>
      </w:r>
      <w:r w:rsidR="005837E9" w:rsidRPr="005837E9">
        <w:rPr>
          <w:rFonts w:ascii="Arial" w:hAnsi="Arial" w:cs="Arial"/>
          <w:lang w:eastAsia="cs-CZ"/>
        </w:rPr>
        <w:t xml:space="preserve">pro výstavbu zhruba 100 bytů v Horních Měcholupech a téměř 50 bytů ve Stodůlkách. </w:t>
      </w:r>
      <w:r w:rsidR="0035190E">
        <w:rPr>
          <w:rFonts w:ascii="Arial" w:hAnsi="Arial" w:cs="Arial"/>
          <w:lang w:eastAsia="cs-CZ"/>
        </w:rPr>
        <w:t>Ani expanze ve Vysočanech ale r</w:t>
      </w:r>
      <w:r w:rsidR="00C53B89">
        <w:rPr>
          <w:rFonts w:ascii="Arial" w:hAnsi="Arial" w:cs="Arial"/>
          <w:lang w:eastAsia="cs-CZ"/>
        </w:rPr>
        <w:t xml:space="preserve">ozhodně </w:t>
      </w:r>
      <w:r w:rsidR="0035190E">
        <w:rPr>
          <w:rFonts w:ascii="Arial" w:hAnsi="Arial" w:cs="Arial"/>
          <w:lang w:eastAsia="cs-CZ"/>
        </w:rPr>
        <w:t xml:space="preserve">není letos </w:t>
      </w:r>
      <w:r w:rsidR="008A5264">
        <w:rPr>
          <w:rFonts w:ascii="Arial" w:hAnsi="Arial" w:cs="Arial"/>
          <w:lang w:eastAsia="cs-CZ"/>
        </w:rPr>
        <w:t xml:space="preserve">jejím </w:t>
      </w:r>
      <w:r w:rsidR="0035190E">
        <w:rPr>
          <w:rFonts w:ascii="Arial" w:hAnsi="Arial" w:cs="Arial"/>
          <w:lang w:eastAsia="cs-CZ"/>
        </w:rPr>
        <w:t xml:space="preserve">posledním počinem. </w:t>
      </w:r>
    </w:p>
    <w:p w:rsidR="0035190E" w:rsidRDefault="0035190E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C7F34" w:rsidRDefault="005837E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5837E9">
        <w:rPr>
          <w:rFonts w:ascii="Arial" w:hAnsi="Arial" w:cs="Arial"/>
          <w:lang w:eastAsia="cs-CZ"/>
        </w:rPr>
        <w:t>Na nákup nových pozemků má CENTRAL GROUP, stejně jako v loňském roce, i letos vyčleněno nejméně 1,5 miliardy korun.</w:t>
      </w:r>
      <w:r w:rsidR="00850686">
        <w:rPr>
          <w:rFonts w:ascii="Arial" w:hAnsi="Arial" w:cs="Arial"/>
          <w:lang w:eastAsia="cs-CZ"/>
        </w:rPr>
        <w:t xml:space="preserve"> </w:t>
      </w:r>
      <w:r w:rsidR="0035190E">
        <w:rPr>
          <w:rFonts w:ascii="Arial" w:hAnsi="Arial" w:cs="Arial"/>
          <w:lang w:eastAsia="cs-CZ"/>
        </w:rPr>
        <w:t>A</w:t>
      </w:r>
      <w:r w:rsidR="00850686">
        <w:rPr>
          <w:rFonts w:ascii="Arial" w:hAnsi="Arial" w:cs="Arial"/>
          <w:lang w:eastAsia="cs-CZ"/>
        </w:rPr>
        <w:t xml:space="preserve">ni tato částka </w:t>
      </w:r>
      <w:r w:rsidR="0035190E">
        <w:rPr>
          <w:rFonts w:ascii="Arial" w:hAnsi="Arial" w:cs="Arial"/>
          <w:lang w:eastAsia="cs-CZ"/>
        </w:rPr>
        <w:t xml:space="preserve">ale </w:t>
      </w:r>
      <w:r w:rsidR="00850686">
        <w:rPr>
          <w:rFonts w:ascii="Arial" w:hAnsi="Arial" w:cs="Arial"/>
          <w:lang w:eastAsia="cs-CZ"/>
        </w:rPr>
        <w:t>nemusí nutně znamenat strop</w:t>
      </w:r>
      <w:r w:rsidR="0035190E">
        <w:rPr>
          <w:rFonts w:ascii="Arial" w:hAnsi="Arial" w:cs="Arial"/>
          <w:lang w:eastAsia="cs-CZ"/>
        </w:rPr>
        <w:t xml:space="preserve"> a v případě potřeby </w:t>
      </w:r>
      <w:r w:rsidR="008A5264">
        <w:rPr>
          <w:rFonts w:ascii="Arial" w:hAnsi="Arial" w:cs="Arial"/>
          <w:lang w:eastAsia="cs-CZ"/>
        </w:rPr>
        <w:t>j</w:t>
      </w:r>
      <w:r w:rsidR="0035190E">
        <w:rPr>
          <w:rFonts w:ascii="Arial" w:hAnsi="Arial" w:cs="Arial"/>
          <w:lang w:eastAsia="cs-CZ"/>
        </w:rPr>
        <w:t xml:space="preserve">e </w:t>
      </w:r>
      <w:r w:rsidR="00CC7F34">
        <w:rPr>
          <w:rFonts w:ascii="Arial" w:hAnsi="Arial" w:cs="Arial"/>
          <w:lang w:eastAsia="cs-CZ"/>
        </w:rPr>
        <w:t xml:space="preserve">firma </w:t>
      </w:r>
      <w:r w:rsidR="008A5264">
        <w:rPr>
          <w:rFonts w:ascii="Arial" w:hAnsi="Arial" w:cs="Arial"/>
          <w:lang w:eastAsia="cs-CZ"/>
        </w:rPr>
        <w:t xml:space="preserve">připravena </w:t>
      </w:r>
      <w:r w:rsidR="00CC7F34">
        <w:rPr>
          <w:rFonts w:ascii="Arial" w:hAnsi="Arial" w:cs="Arial"/>
          <w:lang w:eastAsia="cs-CZ"/>
        </w:rPr>
        <w:t>sumu určenou na akvizice i razantně navýšit</w:t>
      </w:r>
      <w:r w:rsidR="00BC0D78">
        <w:rPr>
          <w:rFonts w:ascii="Arial" w:hAnsi="Arial" w:cs="Arial"/>
          <w:lang w:eastAsia="cs-CZ"/>
        </w:rPr>
        <w:t>.</w:t>
      </w:r>
      <w:r w:rsidR="00850686">
        <w:rPr>
          <w:rFonts w:ascii="Arial" w:hAnsi="Arial" w:cs="Arial"/>
          <w:lang w:eastAsia="cs-CZ"/>
        </w:rPr>
        <w:t xml:space="preserve"> </w:t>
      </w:r>
    </w:p>
    <w:p w:rsidR="00CC7F34" w:rsidRPr="00D30CE1" w:rsidRDefault="00CC7F34" w:rsidP="005837E9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850686" w:rsidRPr="00D30CE1" w:rsidRDefault="00850686" w:rsidP="005837E9">
      <w:pPr>
        <w:spacing w:after="0"/>
        <w:contextualSpacing/>
        <w:jc w:val="both"/>
        <w:rPr>
          <w:rFonts w:ascii="Arial" w:hAnsi="Arial" w:cs="Arial"/>
          <w:i/>
          <w:color w:val="000000" w:themeColor="text1"/>
          <w:lang w:eastAsia="cs-CZ"/>
        </w:rPr>
      </w:pPr>
      <w:r w:rsidRPr="00D30CE1">
        <w:rPr>
          <w:rFonts w:ascii="Arial" w:hAnsi="Arial" w:cs="Arial"/>
          <w:i/>
          <w:color w:val="000000" w:themeColor="text1"/>
          <w:lang w:eastAsia="cs-CZ"/>
        </w:rPr>
        <w:t>„</w:t>
      </w:r>
      <w:r w:rsidR="00C53B89" w:rsidRPr="00D30CE1">
        <w:rPr>
          <w:rFonts w:ascii="Arial" w:hAnsi="Arial" w:cs="Arial"/>
          <w:i/>
          <w:color w:val="000000" w:themeColor="text1"/>
          <w:lang w:eastAsia="cs-CZ"/>
        </w:rPr>
        <w:t xml:space="preserve">V současnosti panuje z pohledu investičních nákupů vůbec nejpříznivější období posledních let. Kapitálově silná společnost, jako je CENTRAL GROUP, tak má unikátní </w:t>
      </w:r>
      <w:proofErr w:type="gramStart"/>
      <w:r w:rsidR="00C53B89" w:rsidRPr="00D30CE1">
        <w:rPr>
          <w:rFonts w:ascii="Arial" w:hAnsi="Arial" w:cs="Arial"/>
          <w:i/>
          <w:color w:val="000000" w:themeColor="text1"/>
          <w:lang w:eastAsia="cs-CZ"/>
        </w:rPr>
        <w:t>příležitost k nový akvizicím</w:t>
      </w:r>
      <w:proofErr w:type="gramEnd"/>
      <w:r w:rsidR="00C53B89" w:rsidRPr="00D30CE1">
        <w:rPr>
          <w:rFonts w:ascii="Arial" w:hAnsi="Arial" w:cs="Arial"/>
          <w:i/>
          <w:color w:val="000000" w:themeColor="text1"/>
          <w:lang w:eastAsia="cs-CZ"/>
        </w:rPr>
        <w:t xml:space="preserve"> a soudě i podle reakcí prodávajících jsme pro ně subjektem, kterému své pozemky nabídnou </w:t>
      </w:r>
      <w:r w:rsidR="00CB538C">
        <w:rPr>
          <w:rFonts w:ascii="Arial" w:hAnsi="Arial" w:cs="Arial"/>
          <w:i/>
          <w:color w:val="000000" w:themeColor="text1"/>
          <w:lang w:eastAsia="cs-CZ"/>
        </w:rPr>
        <w:t xml:space="preserve">vždy </w:t>
      </w:r>
      <w:r w:rsidR="00C53B89" w:rsidRPr="00D30CE1">
        <w:rPr>
          <w:rFonts w:ascii="Arial" w:hAnsi="Arial" w:cs="Arial"/>
          <w:i/>
          <w:color w:val="000000" w:themeColor="text1"/>
          <w:lang w:eastAsia="cs-CZ"/>
        </w:rPr>
        <w:t>jako prvnímu. V současnosti jednáme o několika menších pozemcích a také</w:t>
      </w:r>
      <w:r w:rsidR="00CB538C">
        <w:rPr>
          <w:rFonts w:ascii="Arial" w:hAnsi="Arial" w:cs="Arial"/>
          <w:i/>
          <w:color w:val="000000" w:themeColor="text1"/>
          <w:lang w:eastAsia="cs-CZ"/>
        </w:rPr>
        <w:t xml:space="preserve"> o</w:t>
      </w:r>
      <w:r w:rsidR="00C53B89" w:rsidRPr="00D30CE1">
        <w:rPr>
          <w:rFonts w:ascii="Arial" w:hAnsi="Arial" w:cs="Arial"/>
          <w:i/>
          <w:color w:val="000000" w:themeColor="text1"/>
          <w:lang w:eastAsia="cs-CZ"/>
        </w:rPr>
        <w:t xml:space="preserve"> dalších třech velkých lokalitách, přičemž minimálně u dvou z ni</w:t>
      </w:r>
      <w:r w:rsidR="00BC0D78">
        <w:rPr>
          <w:rFonts w:ascii="Arial" w:hAnsi="Arial" w:cs="Arial"/>
          <w:i/>
          <w:color w:val="000000" w:themeColor="text1"/>
          <w:lang w:eastAsia="cs-CZ"/>
        </w:rPr>
        <w:t xml:space="preserve">ch jsme již velmi blízko </w:t>
      </w:r>
      <w:r w:rsidR="006310B0">
        <w:rPr>
          <w:rFonts w:ascii="Arial" w:hAnsi="Arial" w:cs="Arial"/>
          <w:i/>
          <w:color w:val="000000" w:themeColor="text1"/>
          <w:lang w:eastAsia="cs-CZ"/>
        </w:rPr>
        <w:t>podpisu smlouvy</w:t>
      </w:r>
      <w:r w:rsidR="00BC0D78">
        <w:rPr>
          <w:rFonts w:ascii="Arial" w:hAnsi="Arial" w:cs="Arial"/>
          <w:i/>
          <w:color w:val="000000" w:themeColor="text1"/>
          <w:lang w:eastAsia="cs-CZ"/>
        </w:rPr>
        <w:t>,</w:t>
      </w:r>
      <w:r w:rsidR="00C53B89" w:rsidRPr="00D30CE1">
        <w:rPr>
          <w:rFonts w:ascii="Arial" w:hAnsi="Arial" w:cs="Arial"/>
          <w:i/>
          <w:color w:val="000000" w:themeColor="text1"/>
          <w:lang w:eastAsia="cs-CZ"/>
        </w:rPr>
        <w:t xml:space="preserve">“ </w:t>
      </w:r>
      <w:r w:rsidR="00BC0D78" w:rsidRPr="00BC0D78">
        <w:rPr>
          <w:rFonts w:ascii="Arial" w:hAnsi="Arial" w:cs="Arial"/>
          <w:color w:val="000000" w:themeColor="text1"/>
          <w:lang w:eastAsia="cs-CZ"/>
        </w:rPr>
        <w:t>uzavírá Dušan Kunovský.</w:t>
      </w:r>
    </w:p>
    <w:p w:rsidR="005837E9" w:rsidRDefault="005837E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6310B0" w:rsidRDefault="006310B0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Pr="006310B0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0"/>
          <w:szCs w:val="10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8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85274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0345B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119F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5BC6"/>
    <w:rsid w:val="00176DB2"/>
    <w:rsid w:val="00182A74"/>
    <w:rsid w:val="001839E1"/>
    <w:rsid w:val="00184AA4"/>
    <w:rsid w:val="00195CD4"/>
    <w:rsid w:val="001975BF"/>
    <w:rsid w:val="001A0918"/>
    <w:rsid w:val="001A0E14"/>
    <w:rsid w:val="001A60F5"/>
    <w:rsid w:val="001A6619"/>
    <w:rsid w:val="001B7101"/>
    <w:rsid w:val="001C6D66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53B9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BBF"/>
    <w:rsid w:val="002F3C78"/>
    <w:rsid w:val="002F696E"/>
    <w:rsid w:val="00310056"/>
    <w:rsid w:val="003115D8"/>
    <w:rsid w:val="0031568A"/>
    <w:rsid w:val="00316A88"/>
    <w:rsid w:val="00320B75"/>
    <w:rsid w:val="0035190E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74FB"/>
    <w:rsid w:val="003B20BE"/>
    <w:rsid w:val="003B669D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9C0"/>
    <w:rsid w:val="0043290F"/>
    <w:rsid w:val="004669A9"/>
    <w:rsid w:val="00470BAB"/>
    <w:rsid w:val="00474F5D"/>
    <w:rsid w:val="00487B16"/>
    <w:rsid w:val="00490A3A"/>
    <w:rsid w:val="00491B22"/>
    <w:rsid w:val="004952C9"/>
    <w:rsid w:val="0049638C"/>
    <w:rsid w:val="00496B6A"/>
    <w:rsid w:val="004B31B4"/>
    <w:rsid w:val="004B7B91"/>
    <w:rsid w:val="004C0A81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36342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837E9"/>
    <w:rsid w:val="005A1046"/>
    <w:rsid w:val="005A33B1"/>
    <w:rsid w:val="005A6A33"/>
    <w:rsid w:val="005B681C"/>
    <w:rsid w:val="005C710A"/>
    <w:rsid w:val="005D72BA"/>
    <w:rsid w:val="005E2124"/>
    <w:rsid w:val="005E36D7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3B37"/>
    <w:rsid w:val="00624443"/>
    <w:rsid w:val="006278BF"/>
    <w:rsid w:val="0063062D"/>
    <w:rsid w:val="006310B0"/>
    <w:rsid w:val="006331B3"/>
    <w:rsid w:val="006362FC"/>
    <w:rsid w:val="006474BF"/>
    <w:rsid w:val="00651991"/>
    <w:rsid w:val="00654F88"/>
    <w:rsid w:val="0065674E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3A10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6032C"/>
    <w:rsid w:val="00761239"/>
    <w:rsid w:val="00762126"/>
    <w:rsid w:val="00766721"/>
    <w:rsid w:val="0078361B"/>
    <w:rsid w:val="007871D4"/>
    <w:rsid w:val="00790072"/>
    <w:rsid w:val="00796713"/>
    <w:rsid w:val="00796CBD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765"/>
    <w:rsid w:val="008204B5"/>
    <w:rsid w:val="00820F2C"/>
    <w:rsid w:val="0082549D"/>
    <w:rsid w:val="00847DB4"/>
    <w:rsid w:val="00850686"/>
    <w:rsid w:val="00852746"/>
    <w:rsid w:val="00857E38"/>
    <w:rsid w:val="00862EFD"/>
    <w:rsid w:val="008722DF"/>
    <w:rsid w:val="00873AC5"/>
    <w:rsid w:val="008774E5"/>
    <w:rsid w:val="008872BA"/>
    <w:rsid w:val="00890210"/>
    <w:rsid w:val="00894763"/>
    <w:rsid w:val="008A1E00"/>
    <w:rsid w:val="008A4FF8"/>
    <w:rsid w:val="008A5264"/>
    <w:rsid w:val="008B3EE2"/>
    <w:rsid w:val="008B7191"/>
    <w:rsid w:val="008C749F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10B8A"/>
    <w:rsid w:val="00A148D8"/>
    <w:rsid w:val="00A4200A"/>
    <w:rsid w:val="00A546ED"/>
    <w:rsid w:val="00A60931"/>
    <w:rsid w:val="00A61374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D13E3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6833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71542"/>
    <w:rsid w:val="00B7779A"/>
    <w:rsid w:val="00B824C4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78"/>
    <w:rsid w:val="00BC0DAD"/>
    <w:rsid w:val="00BC1FBC"/>
    <w:rsid w:val="00BC548E"/>
    <w:rsid w:val="00BE0CE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3B89"/>
    <w:rsid w:val="00C5699A"/>
    <w:rsid w:val="00C607A2"/>
    <w:rsid w:val="00C621FC"/>
    <w:rsid w:val="00C67AEB"/>
    <w:rsid w:val="00C802DC"/>
    <w:rsid w:val="00C80C4D"/>
    <w:rsid w:val="00C812FA"/>
    <w:rsid w:val="00C828CD"/>
    <w:rsid w:val="00C8543A"/>
    <w:rsid w:val="00C87246"/>
    <w:rsid w:val="00C964AD"/>
    <w:rsid w:val="00C97FF5"/>
    <w:rsid w:val="00CA489A"/>
    <w:rsid w:val="00CA4B80"/>
    <w:rsid w:val="00CA6D83"/>
    <w:rsid w:val="00CB538C"/>
    <w:rsid w:val="00CC0429"/>
    <w:rsid w:val="00CC7F34"/>
    <w:rsid w:val="00CD1466"/>
    <w:rsid w:val="00CD1F47"/>
    <w:rsid w:val="00CD26E1"/>
    <w:rsid w:val="00CD42C6"/>
    <w:rsid w:val="00CD6B89"/>
    <w:rsid w:val="00CE2CDA"/>
    <w:rsid w:val="00CE79F1"/>
    <w:rsid w:val="00CF181B"/>
    <w:rsid w:val="00CF7C55"/>
    <w:rsid w:val="00D00528"/>
    <w:rsid w:val="00D05C00"/>
    <w:rsid w:val="00D175CF"/>
    <w:rsid w:val="00D2266B"/>
    <w:rsid w:val="00D24422"/>
    <w:rsid w:val="00D302F0"/>
    <w:rsid w:val="00D30CE1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4653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3370"/>
    <w:rsid w:val="00E16198"/>
    <w:rsid w:val="00E2132E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97083"/>
    <w:rsid w:val="00EA79D5"/>
    <w:rsid w:val="00EB2BBE"/>
    <w:rsid w:val="00EB565C"/>
    <w:rsid w:val="00EB7273"/>
    <w:rsid w:val="00EC7D0B"/>
    <w:rsid w:val="00ED1CF5"/>
    <w:rsid w:val="00ED31C9"/>
    <w:rsid w:val="00EE04D0"/>
    <w:rsid w:val="00EE0A47"/>
    <w:rsid w:val="00EE4211"/>
    <w:rsid w:val="00EE7AEF"/>
    <w:rsid w:val="00EF38DD"/>
    <w:rsid w:val="00EF7ED8"/>
    <w:rsid w:val="00F028BE"/>
    <w:rsid w:val="00F0586A"/>
    <w:rsid w:val="00F15BF5"/>
    <w:rsid w:val="00F15C7B"/>
    <w:rsid w:val="00F254AD"/>
    <w:rsid w:val="00F265AB"/>
    <w:rsid w:val="00F31011"/>
    <w:rsid w:val="00F40767"/>
    <w:rsid w:val="00F64DA9"/>
    <w:rsid w:val="00F66BB9"/>
    <w:rsid w:val="00F71634"/>
    <w:rsid w:val="00F80AF7"/>
    <w:rsid w:val="00F83112"/>
    <w:rsid w:val="00F91226"/>
    <w:rsid w:val="00FA0394"/>
    <w:rsid w:val="00FA1ED7"/>
    <w:rsid w:val="00FB1070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entral-group.cz/tiskove-zpravy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jemelka\AppData\Local\Temp\www.central-grou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88BD4-3118-4687-AF58-CB745B2F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989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Veronika Ježková</cp:lastModifiedBy>
  <cp:revision>35</cp:revision>
  <cp:lastPrinted>2015-04-13T15:52:00Z</cp:lastPrinted>
  <dcterms:created xsi:type="dcterms:W3CDTF">2015-04-01T10:26:00Z</dcterms:created>
  <dcterms:modified xsi:type="dcterms:W3CDTF">2015-05-14T07:03:00Z</dcterms:modified>
</cp:coreProperties>
</file>