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CE" w:rsidRDefault="00E72699" w:rsidP="008E5D7B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Polovinu rezidenčního trhu v Praze drží sedm developerů</w:t>
      </w:r>
    </w:p>
    <w:p w:rsidR="006D26FA" w:rsidRPr="006D26FA" w:rsidRDefault="006D26FA" w:rsidP="008E5D7B">
      <w:pPr>
        <w:spacing w:after="0"/>
        <w:rPr>
          <w:rFonts w:ascii="Arial Black" w:hAnsi="Arial Black"/>
          <w:color w:val="000000" w:themeColor="text1"/>
          <w:sz w:val="20"/>
          <w:szCs w:val="20"/>
        </w:rPr>
      </w:pPr>
    </w:p>
    <w:p w:rsidR="00E72699" w:rsidRDefault="002C4DCA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 w:rsidRPr="00237A96">
        <w:rPr>
          <w:rFonts w:ascii="Arial" w:hAnsi="Arial" w:cs="Arial"/>
          <w:i/>
          <w:lang w:eastAsia="cs-CZ"/>
        </w:rPr>
        <w:t xml:space="preserve">Praha, </w:t>
      </w:r>
      <w:r w:rsidR="00BE1539">
        <w:rPr>
          <w:rFonts w:ascii="Arial" w:hAnsi="Arial" w:cs="Arial"/>
          <w:i/>
          <w:lang w:eastAsia="cs-CZ"/>
        </w:rPr>
        <w:t>30</w:t>
      </w:r>
      <w:r w:rsidR="00541CA7" w:rsidRPr="00237A96">
        <w:rPr>
          <w:rFonts w:ascii="Arial" w:hAnsi="Arial" w:cs="Arial"/>
          <w:i/>
          <w:lang w:eastAsia="cs-CZ"/>
        </w:rPr>
        <w:t>.</w:t>
      </w:r>
      <w:r w:rsidR="000266CE" w:rsidRPr="00237A96">
        <w:rPr>
          <w:rFonts w:ascii="Arial" w:hAnsi="Arial" w:cs="Arial"/>
          <w:i/>
          <w:lang w:eastAsia="cs-CZ"/>
        </w:rPr>
        <w:t xml:space="preserve"> </w:t>
      </w:r>
      <w:r w:rsidR="00EE071F">
        <w:rPr>
          <w:rFonts w:ascii="Arial" w:hAnsi="Arial" w:cs="Arial"/>
          <w:i/>
          <w:lang w:eastAsia="cs-CZ"/>
        </w:rPr>
        <w:t>5</w:t>
      </w:r>
      <w:r w:rsidR="000854B7">
        <w:rPr>
          <w:rFonts w:ascii="Arial" w:hAnsi="Arial" w:cs="Arial"/>
          <w:i/>
          <w:lang w:eastAsia="cs-CZ"/>
        </w:rPr>
        <w:t>.</w:t>
      </w:r>
      <w:r w:rsidR="000266CE" w:rsidRPr="00237A96">
        <w:rPr>
          <w:rFonts w:ascii="Arial" w:hAnsi="Arial" w:cs="Arial"/>
          <w:i/>
          <w:lang w:eastAsia="cs-CZ"/>
        </w:rPr>
        <w:t xml:space="preserve"> 201</w:t>
      </w:r>
      <w:r w:rsidR="007B2F43">
        <w:rPr>
          <w:rFonts w:ascii="Arial" w:hAnsi="Arial" w:cs="Arial"/>
          <w:i/>
          <w:lang w:eastAsia="cs-CZ"/>
        </w:rPr>
        <w:t>7</w:t>
      </w:r>
      <w:r w:rsidR="000266CE" w:rsidRPr="00237A96">
        <w:rPr>
          <w:rFonts w:ascii="Arial" w:hAnsi="Arial" w:cs="Arial"/>
          <w:i/>
          <w:lang w:eastAsia="cs-CZ"/>
        </w:rPr>
        <w:t xml:space="preserve"> –</w:t>
      </w:r>
      <w:r w:rsidR="00DF261B" w:rsidRPr="00FE0C65">
        <w:rPr>
          <w:rFonts w:ascii="Arial" w:hAnsi="Arial" w:cs="Arial"/>
          <w:b/>
          <w:i/>
          <w:lang w:eastAsia="cs-CZ"/>
        </w:rPr>
        <w:t xml:space="preserve"> </w:t>
      </w:r>
      <w:bookmarkStart w:id="0" w:name="_Hlk483909888"/>
      <w:r w:rsidR="00E72699">
        <w:rPr>
          <w:rFonts w:ascii="Arial" w:hAnsi="Arial" w:cs="Arial"/>
          <w:b/>
          <w:lang w:eastAsia="cs-CZ"/>
        </w:rPr>
        <w:t>Polovinu</w:t>
      </w:r>
      <w:r w:rsidR="00FE580C">
        <w:rPr>
          <w:rFonts w:ascii="Arial" w:hAnsi="Arial" w:cs="Arial"/>
          <w:b/>
          <w:lang w:eastAsia="cs-CZ"/>
        </w:rPr>
        <w:t xml:space="preserve"> </w:t>
      </w:r>
      <w:r w:rsidR="00AB2687">
        <w:rPr>
          <w:rFonts w:ascii="Arial" w:hAnsi="Arial" w:cs="Arial"/>
          <w:b/>
          <w:lang w:eastAsia="cs-CZ"/>
        </w:rPr>
        <w:t>trhu rezidenčního developmentu v Praze</w:t>
      </w:r>
      <w:r w:rsidR="00FE580C">
        <w:rPr>
          <w:rFonts w:ascii="Arial" w:hAnsi="Arial" w:cs="Arial"/>
          <w:b/>
          <w:lang w:eastAsia="cs-CZ"/>
        </w:rPr>
        <w:t xml:space="preserve"> </w:t>
      </w:r>
      <w:r w:rsidR="00E72699">
        <w:rPr>
          <w:rFonts w:ascii="Arial" w:hAnsi="Arial" w:cs="Arial"/>
          <w:b/>
          <w:lang w:eastAsia="cs-CZ"/>
        </w:rPr>
        <w:t xml:space="preserve">drží jen sedm </w:t>
      </w:r>
      <w:r w:rsidR="00FE580C">
        <w:rPr>
          <w:rFonts w:ascii="Arial" w:hAnsi="Arial" w:cs="Arial"/>
          <w:b/>
          <w:lang w:eastAsia="cs-CZ"/>
        </w:rPr>
        <w:t xml:space="preserve">firem. </w:t>
      </w:r>
      <w:r w:rsidR="00E72699">
        <w:rPr>
          <w:rFonts w:ascii="Arial" w:hAnsi="Arial" w:cs="Arial"/>
          <w:b/>
          <w:lang w:eastAsia="cs-CZ"/>
        </w:rPr>
        <w:t xml:space="preserve">Velká trojka má 30procentní podíl. </w:t>
      </w:r>
      <w:proofErr w:type="spellStart"/>
      <w:r w:rsidR="00E72699">
        <w:rPr>
          <w:rFonts w:ascii="Arial" w:hAnsi="Arial" w:cs="Arial"/>
          <w:b/>
          <w:lang w:eastAsia="cs-CZ"/>
        </w:rPr>
        <w:t>Central</w:t>
      </w:r>
      <w:proofErr w:type="spellEnd"/>
      <w:r w:rsidR="00E72699">
        <w:rPr>
          <w:rFonts w:ascii="Arial" w:hAnsi="Arial" w:cs="Arial"/>
          <w:b/>
          <w:lang w:eastAsia="cs-CZ"/>
        </w:rPr>
        <w:t xml:space="preserve"> Group se </w:t>
      </w:r>
      <w:r w:rsidR="006E548E">
        <w:rPr>
          <w:rFonts w:ascii="Arial" w:hAnsi="Arial" w:cs="Arial"/>
          <w:b/>
          <w:lang w:eastAsia="cs-CZ"/>
        </w:rPr>
        <w:t xml:space="preserve">dokonce </w:t>
      </w:r>
      <w:r w:rsidR="008A1E98">
        <w:rPr>
          <w:rFonts w:ascii="Arial" w:hAnsi="Arial" w:cs="Arial"/>
          <w:b/>
          <w:lang w:eastAsia="cs-CZ"/>
        </w:rPr>
        <w:t xml:space="preserve">na trhu </w:t>
      </w:r>
      <w:r w:rsidR="00E72699">
        <w:rPr>
          <w:rFonts w:ascii="Arial" w:hAnsi="Arial" w:cs="Arial"/>
          <w:b/>
          <w:lang w:eastAsia="cs-CZ"/>
        </w:rPr>
        <w:t>podílí více než 18 procenty.</w:t>
      </w:r>
      <w:r w:rsidR="002428E1">
        <w:rPr>
          <w:rFonts w:ascii="Arial" w:hAnsi="Arial" w:cs="Arial"/>
          <w:b/>
          <w:lang w:eastAsia="cs-CZ"/>
        </w:rPr>
        <w:t xml:space="preserve"> </w:t>
      </w:r>
      <w:r w:rsidR="00C657BA">
        <w:rPr>
          <w:rFonts w:ascii="Arial" w:hAnsi="Arial" w:cs="Arial"/>
          <w:b/>
          <w:lang w:eastAsia="cs-CZ"/>
        </w:rPr>
        <w:t>V prvním čtvrtletí p</w:t>
      </w:r>
      <w:r w:rsidR="002428E1">
        <w:rPr>
          <w:rFonts w:ascii="Arial" w:hAnsi="Arial" w:cs="Arial"/>
          <w:b/>
          <w:lang w:eastAsia="cs-CZ"/>
        </w:rPr>
        <w:t xml:space="preserve">rodal 246 bytů, což je více než 2,5násobek prodeje následujícího </w:t>
      </w:r>
      <w:proofErr w:type="spellStart"/>
      <w:r w:rsidR="002428E1">
        <w:rPr>
          <w:rFonts w:ascii="Arial" w:hAnsi="Arial" w:cs="Arial"/>
          <w:b/>
          <w:lang w:eastAsia="cs-CZ"/>
        </w:rPr>
        <w:t>Finepu</w:t>
      </w:r>
      <w:proofErr w:type="spellEnd"/>
      <w:r w:rsidR="002428E1">
        <w:rPr>
          <w:rFonts w:ascii="Arial" w:hAnsi="Arial" w:cs="Arial"/>
          <w:b/>
          <w:lang w:eastAsia="cs-CZ"/>
        </w:rPr>
        <w:t>.</w:t>
      </w:r>
      <w:r w:rsidR="00E72699">
        <w:rPr>
          <w:rFonts w:ascii="Arial" w:hAnsi="Arial" w:cs="Arial"/>
          <w:b/>
          <w:lang w:eastAsia="cs-CZ"/>
        </w:rPr>
        <w:t xml:space="preserve"> </w:t>
      </w:r>
      <w:r w:rsidR="004F1830">
        <w:rPr>
          <w:rFonts w:ascii="Arial" w:hAnsi="Arial" w:cs="Arial"/>
          <w:b/>
          <w:lang w:eastAsia="cs-CZ"/>
        </w:rPr>
        <w:t xml:space="preserve">Vyplývá to ze společných analýz firem </w:t>
      </w:r>
      <w:proofErr w:type="spellStart"/>
      <w:r w:rsidR="004F1830">
        <w:rPr>
          <w:rFonts w:ascii="Arial" w:hAnsi="Arial" w:cs="Arial"/>
          <w:b/>
          <w:lang w:eastAsia="cs-CZ"/>
        </w:rPr>
        <w:t>Trigema</w:t>
      </w:r>
      <w:proofErr w:type="spellEnd"/>
      <w:r w:rsidR="00E72699">
        <w:rPr>
          <w:rFonts w:ascii="Arial" w:hAnsi="Arial" w:cs="Arial"/>
          <w:b/>
          <w:lang w:eastAsia="cs-CZ"/>
        </w:rPr>
        <w:t>,</w:t>
      </w:r>
      <w:r w:rsidR="004F1830">
        <w:rPr>
          <w:rFonts w:ascii="Arial" w:hAnsi="Arial" w:cs="Arial"/>
          <w:b/>
          <w:lang w:eastAsia="cs-CZ"/>
        </w:rPr>
        <w:t xml:space="preserve"> Skanska Reality</w:t>
      </w:r>
      <w:r w:rsidR="00E72699">
        <w:rPr>
          <w:rFonts w:ascii="Arial" w:hAnsi="Arial" w:cs="Arial"/>
          <w:b/>
          <w:lang w:eastAsia="cs-CZ"/>
        </w:rPr>
        <w:t xml:space="preserve"> a </w:t>
      </w:r>
      <w:proofErr w:type="spellStart"/>
      <w:r w:rsidR="00E72699">
        <w:rPr>
          <w:rFonts w:ascii="Arial" w:hAnsi="Arial" w:cs="Arial"/>
          <w:b/>
          <w:lang w:eastAsia="cs-CZ"/>
        </w:rPr>
        <w:t>Central</w:t>
      </w:r>
      <w:proofErr w:type="spellEnd"/>
      <w:r w:rsidR="00E72699">
        <w:rPr>
          <w:rFonts w:ascii="Arial" w:hAnsi="Arial" w:cs="Arial"/>
          <w:b/>
          <w:lang w:eastAsia="cs-CZ"/>
        </w:rPr>
        <w:t xml:space="preserve"> Group</w:t>
      </w:r>
      <w:r w:rsidR="004F1830">
        <w:rPr>
          <w:rFonts w:ascii="Arial" w:hAnsi="Arial" w:cs="Arial"/>
          <w:b/>
          <w:lang w:eastAsia="cs-CZ"/>
        </w:rPr>
        <w:t>.</w:t>
      </w:r>
      <w:r w:rsidR="00E72699">
        <w:rPr>
          <w:rFonts w:ascii="Arial" w:hAnsi="Arial" w:cs="Arial"/>
          <w:b/>
          <w:lang w:eastAsia="cs-CZ"/>
        </w:rPr>
        <w:t xml:space="preserve"> Celkem bylo v nabídce developerů </w:t>
      </w:r>
      <w:r w:rsidR="002428E1">
        <w:rPr>
          <w:rFonts w:ascii="Arial" w:hAnsi="Arial" w:cs="Arial"/>
          <w:b/>
          <w:lang w:eastAsia="cs-CZ"/>
        </w:rPr>
        <w:t>na konci</w:t>
      </w:r>
      <w:r w:rsidR="00E72699">
        <w:rPr>
          <w:rFonts w:ascii="Arial" w:hAnsi="Arial" w:cs="Arial"/>
          <w:b/>
          <w:lang w:eastAsia="cs-CZ"/>
        </w:rPr>
        <w:t> čtvrtletí 3450 bytů, za první tři měsíce roku se prodalo</w:t>
      </w:r>
      <w:r w:rsidR="005D7987">
        <w:rPr>
          <w:rFonts w:ascii="Arial" w:hAnsi="Arial" w:cs="Arial"/>
          <w:b/>
          <w:lang w:eastAsia="cs-CZ"/>
        </w:rPr>
        <w:t xml:space="preserve"> 1350</w:t>
      </w:r>
      <w:r w:rsidR="00E72699">
        <w:rPr>
          <w:rFonts w:ascii="Arial" w:hAnsi="Arial" w:cs="Arial"/>
          <w:b/>
          <w:lang w:eastAsia="cs-CZ"/>
        </w:rPr>
        <w:t xml:space="preserve"> bytů.</w:t>
      </w:r>
      <w:r w:rsidR="002428E1">
        <w:rPr>
          <w:rFonts w:ascii="Arial" w:hAnsi="Arial" w:cs="Arial"/>
          <w:b/>
          <w:lang w:eastAsia="cs-CZ"/>
        </w:rPr>
        <w:t xml:space="preserve"> </w:t>
      </w:r>
    </w:p>
    <w:bookmarkEnd w:id="0"/>
    <w:p w:rsidR="00E72699" w:rsidRDefault="00E72699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5D7987" w:rsidRDefault="00E72699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8A1E98">
        <w:rPr>
          <w:rFonts w:ascii="Arial" w:hAnsi="Arial" w:cs="Arial"/>
          <w:i/>
          <w:lang w:eastAsia="cs-CZ"/>
        </w:rPr>
        <w:t>„V minulosti poměrně stabilním žebříčkem developerů začíná hýbat nedostatek bytů v nabídce. Z předních pozic vypadlo několik v</w:t>
      </w:r>
      <w:r w:rsidR="008A1E98">
        <w:rPr>
          <w:rFonts w:ascii="Arial" w:hAnsi="Arial" w:cs="Arial"/>
          <w:i/>
          <w:lang w:eastAsia="cs-CZ"/>
        </w:rPr>
        <w:t>ětších</w:t>
      </w:r>
      <w:r w:rsidRPr="008A1E98">
        <w:rPr>
          <w:rFonts w:ascii="Arial" w:hAnsi="Arial" w:cs="Arial"/>
          <w:i/>
          <w:lang w:eastAsia="cs-CZ"/>
        </w:rPr>
        <w:t xml:space="preserve"> firem, někte</w:t>
      </w:r>
      <w:r w:rsidR="008A1E98">
        <w:rPr>
          <w:rFonts w:ascii="Arial" w:hAnsi="Arial" w:cs="Arial"/>
          <w:i/>
          <w:lang w:eastAsia="cs-CZ"/>
        </w:rPr>
        <w:t>ří velcí hráči dokonce již avizovali</w:t>
      </w:r>
      <w:r w:rsidRPr="008A1E98">
        <w:rPr>
          <w:rFonts w:ascii="Arial" w:hAnsi="Arial" w:cs="Arial"/>
          <w:i/>
          <w:lang w:eastAsia="cs-CZ"/>
        </w:rPr>
        <w:t>, že v důsledku zastaveného povolování nové výstavb</w:t>
      </w:r>
      <w:r w:rsidR="00AB2687">
        <w:rPr>
          <w:rFonts w:ascii="Arial" w:hAnsi="Arial" w:cs="Arial"/>
          <w:i/>
          <w:lang w:eastAsia="cs-CZ"/>
        </w:rPr>
        <w:t>y nebudou mít letos co prodávat</w:t>
      </w:r>
      <w:r w:rsidR="005D7987" w:rsidRPr="008A1E98">
        <w:rPr>
          <w:rFonts w:ascii="Arial" w:hAnsi="Arial" w:cs="Arial"/>
          <w:i/>
          <w:lang w:eastAsia="cs-CZ"/>
        </w:rPr>
        <w:t>,“</w:t>
      </w:r>
      <w:r w:rsidR="005D7987">
        <w:rPr>
          <w:rFonts w:ascii="Arial" w:hAnsi="Arial" w:cs="Arial"/>
          <w:lang w:eastAsia="cs-CZ"/>
        </w:rPr>
        <w:t xml:space="preserve"> řekl šéf </w:t>
      </w:r>
      <w:proofErr w:type="spellStart"/>
      <w:r w:rsidR="005D7987">
        <w:rPr>
          <w:rFonts w:ascii="Arial" w:hAnsi="Arial" w:cs="Arial"/>
          <w:lang w:eastAsia="cs-CZ"/>
        </w:rPr>
        <w:t>Central</w:t>
      </w:r>
      <w:proofErr w:type="spellEnd"/>
      <w:r w:rsidR="005D7987">
        <w:rPr>
          <w:rFonts w:ascii="Arial" w:hAnsi="Arial" w:cs="Arial"/>
          <w:lang w:eastAsia="cs-CZ"/>
        </w:rPr>
        <w:t xml:space="preserve"> Group Dušan Kunovský. </w:t>
      </w:r>
      <w:r w:rsidR="008A1E98">
        <w:rPr>
          <w:rFonts w:ascii="Arial" w:hAnsi="Arial" w:cs="Arial"/>
          <w:lang w:eastAsia="cs-CZ"/>
        </w:rPr>
        <w:t>Ukazuje se</w:t>
      </w:r>
      <w:r w:rsidR="005D7987">
        <w:rPr>
          <w:rFonts w:ascii="Arial" w:hAnsi="Arial" w:cs="Arial"/>
          <w:lang w:eastAsia="cs-CZ"/>
        </w:rPr>
        <w:t>, že zdaleka ne všechny firmy</w:t>
      </w:r>
      <w:r w:rsidR="00A61F7C">
        <w:rPr>
          <w:rFonts w:ascii="Arial" w:hAnsi="Arial" w:cs="Arial"/>
          <w:lang w:eastAsia="cs-CZ"/>
        </w:rPr>
        <w:t>,</w:t>
      </w:r>
      <w:r w:rsidR="005D7987">
        <w:rPr>
          <w:rFonts w:ascii="Arial" w:hAnsi="Arial" w:cs="Arial"/>
          <w:lang w:eastAsia="cs-CZ"/>
        </w:rPr>
        <w:t xml:space="preserve"> a dokonce ani </w:t>
      </w:r>
      <w:r w:rsidR="00A61F7C">
        <w:rPr>
          <w:rFonts w:ascii="Arial" w:hAnsi="Arial" w:cs="Arial"/>
          <w:lang w:eastAsia="cs-CZ"/>
        </w:rPr>
        <w:t>ty</w:t>
      </w:r>
      <w:r w:rsidR="005D7987">
        <w:rPr>
          <w:rFonts w:ascii="Arial" w:hAnsi="Arial" w:cs="Arial"/>
          <w:lang w:eastAsia="cs-CZ"/>
        </w:rPr>
        <w:t xml:space="preserve"> velké, nejsou schopny čelit situaci, kdy úřady razantně omezily vydávání povolení na nové byty. </w:t>
      </w:r>
      <w:r w:rsidR="00AB2687" w:rsidRPr="00AB2687">
        <w:rPr>
          <w:rFonts w:ascii="Arial" w:hAnsi="Arial" w:cs="Arial"/>
          <w:i/>
          <w:lang w:eastAsia="cs-CZ"/>
        </w:rPr>
        <w:t>„</w:t>
      </w:r>
      <w:r w:rsidR="00AB2687">
        <w:rPr>
          <w:rFonts w:ascii="Arial" w:hAnsi="Arial" w:cs="Arial"/>
          <w:i/>
          <w:lang w:eastAsia="cs-CZ"/>
        </w:rPr>
        <w:t>D</w:t>
      </w:r>
      <w:r w:rsidR="00AB2687" w:rsidRPr="00AB2687">
        <w:rPr>
          <w:rFonts w:ascii="Arial" w:hAnsi="Arial" w:cs="Arial"/>
          <w:i/>
          <w:lang w:eastAsia="cs-CZ"/>
        </w:rPr>
        <w:t xml:space="preserve">élka stavebního řízení </w:t>
      </w:r>
      <w:r w:rsidR="00AB2687">
        <w:rPr>
          <w:rFonts w:ascii="Arial" w:hAnsi="Arial" w:cs="Arial"/>
          <w:i/>
          <w:lang w:eastAsia="cs-CZ"/>
        </w:rPr>
        <w:t xml:space="preserve">se </w:t>
      </w:r>
      <w:r w:rsidR="00AB2687" w:rsidRPr="00AB2687">
        <w:rPr>
          <w:rFonts w:ascii="Arial" w:hAnsi="Arial" w:cs="Arial"/>
          <w:i/>
          <w:lang w:eastAsia="cs-CZ"/>
        </w:rPr>
        <w:t>prodloužila na aktuálně neuvěřitelných deset let,“</w:t>
      </w:r>
      <w:r w:rsidR="00AB2687">
        <w:rPr>
          <w:rFonts w:ascii="Arial" w:hAnsi="Arial" w:cs="Arial"/>
          <w:lang w:eastAsia="cs-CZ"/>
        </w:rPr>
        <w:t xml:space="preserve"> dodal Kunovský. </w:t>
      </w:r>
      <w:r w:rsidR="008A1E98">
        <w:rPr>
          <w:rFonts w:ascii="Arial" w:hAnsi="Arial" w:cs="Arial"/>
          <w:lang w:eastAsia="cs-CZ"/>
        </w:rPr>
        <w:t xml:space="preserve">Vedoucí trojka </w:t>
      </w:r>
      <w:r w:rsidR="00AB2687">
        <w:rPr>
          <w:rFonts w:ascii="Arial" w:hAnsi="Arial" w:cs="Arial"/>
          <w:lang w:eastAsia="cs-CZ"/>
        </w:rPr>
        <w:t xml:space="preserve">žebříčku </w:t>
      </w:r>
      <w:r w:rsidR="008A1E98">
        <w:rPr>
          <w:rFonts w:ascii="Arial" w:hAnsi="Arial" w:cs="Arial"/>
          <w:lang w:eastAsia="cs-CZ"/>
        </w:rPr>
        <w:t xml:space="preserve">je ale stabilní, tvoří ji </w:t>
      </w:r>
      <w:proofErr w:type="spellStart"/>
      <w:r w:rsidR="008A1E98">
        <w:rPr>
          <w:rFonts w:ascii="Arial" w:hAnsi="Arial" w:cs="Arial"/>
          <w:lang w:eastAsia="cs-CZ"/>
        </w:rPr>
        <w:t>Central</w:t>
      </w:r>
      <w:proofErr w:type="spellEnd"/>
      <w:r w:rsidR="008A1E98">
        <w:rPr>
          <w:rFonts w:ascii="Arial" w:hAnsi="Arial" w:cs="Arial"/>
          <w:lang w:eastAsia="cs-CZ"/>
        </w:rPr>
        <w:t xml:space="preserve"> Group, </w:t>
      </w:r>
      <w:proofErr w:type="spellStart"/>
      <w:r w:rsidR="008A1E98">
        <w:rPr>
          <w:rFonts w:ascii="Arial" w:hAnsi="Arial" w:cs="Arial"/>
          <w:lang w:eastAsia="cs-CZ"/>
        </w:rPr>
        <w:t>Finep</w:t>
      </w:r>
      <w:proofErr w:type="spellEnd"/>
      <w:r w:rsidR="008A1E98">
        <w:rPr>
          <w:rFonts w:ascii="Arial" w:hAnsi="Arial" w:cs="Arial"/>
          <w:lang w:eastAsia="cs-CZ"/>
        </w:rPr>
        <w:t xml:space="preserve"> a Skanska Reality.</w:t>
      </w:r>
    </w:p>
    <w:p w:rsidR="005D7987" w:rsidRDefault="005D7987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tbl>
      <w:tblPr>
        <w:tblStyle w:val="Mkatabulky"/>
        <w:tblW w:w="9782" w:type="dxa"/>
        <w:tblLayout w:type="fixed"/>
        <w:tblLook w:val="04A0" w:firstRow="1" w:lastRow="0" w:firstColumn="1" w:lastColumn="0" w:noHBand="0" w:noVBand="1"/>
      </w:tblPr>
      <w:tblGrid>
        <w:gridCol w:w="1101"/>
        <w:gridCol w:w="2272"/>
        <w:gridCol w:w="3114"/>
        <w:gridCol w:w="3295"/>
      </w:tblGrid>
      <w:tr w:rsidR="00CA353C" w:rsidTr="005D7987">
        <w:tc>
          <w:tcPr>
            <w:tcW w:w="9782" w:type="dxa"/>
            <w:gridSpan w:val="4"/>
          </w:tcPr>
          <w:p w:rsidR="00CA353C" w:rsidRPr="00CA353C" w:rsidRDefault="00CA353C" w:rsidP="00DF3B22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eastAsia="cs-CZ"/>
              </w:rPr>
            </w:pPr>
            <w:r w:rsidRPr="00CA353C">
              <w:rPr>
                <w:rFonts w:ascii="Arial" w:hAnsi="Arial" w:cs="Arial"/>
                <w:b/>
                <w:sz w:val="28"/>
                <w:szCs w:val="28"/>
                <w:lang w:eastAsia="cs-CZ"/>
              </w:rPr>
              <w:t xml:space="preserve">TOP </w:t>
            </w:r>
            <w:r w:rsidR="00DF3B22">
              <w:rPr>
                <w:rFonts w:ascii="Arial" w:hAnsi="Arial" w:cs="Arial"/>
                <w:b/>
                <w:sz w:val="28"/>
                <w:szCs w:val="28"/>
                <w:lang w:eastAsia="cs-CZ"/>
              </w:rPr>
              <w:t xml:space="preserve">15 </w:t>
            </w:r>
            <w:r w:rsidRPr="00CA353C">
              <w:rPr>
                <w:rFonts w:ascii="Arial" w:hAnsi="Arial" w:cs="Arial"/>
                <w:b/>
                <w:sz w:val="28"/>
                <w:szCs w:val="28"/>
                <w:lang w:eastAsia="cs-CZ"/>
              </w:rPr>
              <w:t xml:space="preserve">rezidenčních developerů v Praze za </w:t>
            </w:r>
            <w:r w:rsidR="00EE071F">
              <w:rPr>
                <w:rFonts w:ascii="Arial" w:hAnsi="Arial" w:cs="Arial"/>
                <w:b/>
                <w:sz w:val="28"/>
                <w:szCs w:val="28"/>
                <w:lang w:eastAsia="cs-CZ"/>
              </w:rPr>
              <w:t>1. čtvrtletí</w:t>
            </w:r>
            <w:r w:rsidRPr="00CA353C">
              <w:rPr>
                <w:rFonts w:ascii="Arial" w:hAnsi="Arial" w:cs="Arial"/>
                <w:b/>
                <w:sz w:val="28"/>
                <w:szCs w:val="28"/>
                <w:lang w:eastAsia="cs-CZ"/>
              </w:rPr>
              <w:t xml:space="preserve"> 201</w:t>
            </w:r>
            <w:r w:rsidR="00EE071F">
              <w:rPr>
                <w:rFonts w:ascii="Arial" w:hAnsi="Arial" w:cs="Arial"/>
                <w:b/>
                <w:sz w:val="28"/>
                <w:szCs w:val="28"/>
                <w:lang w:eastAsia="cs-CZ"/>
              </w:rPr>
              <w:t>7</w:t>
            </w:r>
          </w:p>
        </w:tc>
      </w:tr>
      <w:tr w:rsidR="00CA353C" w:rsidTr="005D7987">
        <w:tc>
          <w:tcPr>
            <w:tcW w:w="1101" w:type="dxa"/>
          </w:tcPr>
          <w:p w:rsidR="00CA353C" w:rsidRPr="00CA353C" w:rsidRDefault="00CA353C" w:rsidP="009653E0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 w:rsidRPr="00CA353C">
              <w:rPr>
                <w:rFonts w:ascii="Arial" w:hAnsi="Arial" w:cs="Arial"/>
                <w:b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2272" w:type="dxa"/>
          </w:tcPr>
          <w:p w:rsidR="00CA353C" w:rsidRPr="00CA353C" w:rsidRDefault="00CA353C" w:rsidP="009653E0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 w:rsidRPr="00CA353C">
              <w:rPr>
                <w:rFonts w:ascii="Arial" w:hAnsi="Arial" w:cs="Arial"/>
                <w:b/>
                <w:sz w:val="24"/>
                <w:szCs w:val="24"/>
                <w:lang w:eastAsia="cs-CZ"/>
              </w:rPr>
              <w:t>Společnost</w:t>
            </w:r>
          </w:p>
        </w:tc>
        <w:tc>
          <w:tcPr>
            <w:tcW w:w="3114" w:type="dxa"/>
          </w:tcPr>
          <w:p w:rsidR="00CA353C" w:rsidRPr="00CA353C" w:rsidRDefault="00CA353C" w:rsidP="009653E0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 w:rsidRPr="00CA353C">
              <w:rPr>
                <w:rFonts w:ascii="Arial" w:hAnsi="Arial" w:cs="Arial"/>
                <w:b/>
                <w:sz w:val="24"/>
                <w:szCs w:val="24"/>
                <w:lang w:eastAsia="cs-CZ"/>
              </w:rPr>
              <w:t>Podíl na trhu</w:t>
            </w:r>
          </w:p>
        </w:tc>
        <w:tc>
          <w:tcPr>
            <w:tcW w:w="3295" w:type="dxa"/>
          </w:tcPr>
          <w:p w:rsidR="00CA353C" w:rsidRPr="00CA353C" w:rsidRDefault="00CA353C" w:rsidP="009653E0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 w:rsidRPr="00CA353C">
              <w:rPr>
                <w:rFonts w:ascii="Arial" w:hAnsi="Arial" w:cs="Arial"/>
                <w:b/>
                <w:sz w:val="24"/>
                <w:szCs w:val="24"/>
                <w:lang w:eastAsia="cs-CZ"/>
              </w:rPr>
              <w:t>Poč</w:t>
            </w:r>
            <w:r w:rsidR="00EB6EE8">
              <w:rPr>
                <w:rFonts w:ascii="Arial" w:hAnsi="Arial" w:cs="Arial"/>
                <w:b/>
                <w:sz w:val="24"/>
                <w:szCs w:val="24"/>
                <w:lang w:eastAsia="cs-CZ"/>
              </w:rPr>
              <w:t>et prodaných bytů</w:t>
            </w:r>
          </w:p>
        </w:tc>
      </w:tr>
      <w:tr w:rsidR="00CA353C" w:rsidTr="005D7987">
        <w:tc>
          <w:tcPr>
            <w:tcW w:w="1101" w:type="dxa"/>
          </w:tcPr>
          <w:p w:rsidR="00CA353C" w:rsidRDefault="00CA353C" w:rsidP="00CA353C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1.</w:t>
            </w:r>
          </w:p>
        </w:tc>
        <w:tc>
          <w:tcPr>
            <w:tcW w:w="2272" w:type="dxa"/>
          </w:tcPr>
          <w:p w:rsidR="00CA353C" w:rsidRDefault="00DF3B22" w:rsidP="005E05FE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proofErr w:type="spellStart"/>
            <w:r>
              <w:rPr>
                <w:rFonts w:ascii="Arial" w:hAnsi="Arial" w:cs="Arial"/>
                <w:lang w:eastAsia="cs-CZ"/>
              </w:rPr>
              <w:t>Central</w:t>
            </w:r>
            <w:proofErr w:type="spellEnd"/>
            <w:r>
              <w:rPr>
                <w:rFonts w:ascii="Arial" w:hAnsi="Arial" w:cs="Arial"/>
                <w:lang w:eastAsia="cs-CZ"/>
              </w:rPr>
              <w:t xml:space="preserve"> Group</w:t>
            </w:r>
          </w:p>
        </w:tc>
        <w:tc>
          <w:tcPr>
            <w:tcW w:w="3114" w:type="dxa"/>
          </w:tcPr>
          <w:p w:rsidR="00CA353C" w:rsidRDefault="00DF3B22" w:rsidP="00CA353C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18,</w:t>
            </w:r>
            <w:r w:rsidR="005D7987">
              <w:rPr>
                <w:rFonts w:ascii="Arial" w:hAnsi="Arial" w:cs="Arial"/>
                <w:lang w:eastAsia="cs-CZ"/>
              </w:rPr>
              <w:t>2</w:t>
            </w:r>
            <w:r>
              <w:rPr>
                <w:rFonts w:ascii="Arial" w:hAnsi="Arial" w:cs="Arial"/>
                <w:lang w:eastAsia="cs-CZ"/>
              </w:rPr>
              <w:t xml:space="preserve"> %</w:t>
            </w:r>
          </w:p>
        </w:tc>
        <w:tc>
          <w:tcPr>
            <w:tcW w:w="3295" w:type="dxa"/>
          </w:tcPr>
          <w:p w:rsidR="00CA353C" w:rsidRDefault="005D7987" w:rsidP="00CA353C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246</w:t>
            </w:r>
          </w:p>
        </w:tc>
      </w:tr>
      <w:tr w:rsidR="00CA353C" w:rsidTr="005D7987">
        <w:tc>
          <w:tcPr>
            <w:tcW w:w="1101" w:type="dxa"/>
          </w:tcPr>
          <w:p w:rsidR="00CA353C" w:rsidRDefault="00CA353C" w:rsidP="00CA353C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2.</w:t>
            </w:r>
          </w:p>
        </w:tc>
        <w:tc>
          <w:tcPr>
            <w:tcW w:w="2272" w:type="dxa"/>
          </w:tcPr>
          <w:p w:rsidR="00CA353C" w:rsidRDefault="00DF3B22" w:rsidP="005E05FE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proofErr w:type="spellStart"/>
            <w:r>
              <w:rPr>
                <w:rFonts w:ascii="Arial" w:hAnsi="Arial" w:cs="Arial"/>
                <w:lang w:eastAsia="cs-CZ"/>
              </w:rPr>
              <w:t>Finep</w:t>
            </w:r>
            <w:proofErr w:type="spellEnd"/>
          </w:p>
        </w:tc>
        <w:tc>
          <w:tcPr>
            <w:tcW w:w="3114" w:type="dxa"/>
          </w:tcPr>
          <w:p w:rsidR="00CA353C" w:rsidRDefault="005D7987" w:rsidP="00CA353C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6,8</w:t>
            </w:r>
            <w:r w:rsidR="00DF3B22">
              <w:rPr>
                <w:rFonts w:ascii="Arial" w:hAnsi="Arial" w:cs="Arial"/>
                <w:lang w:eastAsia="cs-CZ"/>
              </w:rPr>
              <w:t xml:space="preserve"> %</w:t>
            </w:r>
          </w:p>
        </w:tc>
        <w:tc>
          <w:tcPr>
            <w:tcW w:w="3295" w:type="dxa"/>
          </w:tcPr>
          <w:p w:rsidR="00CA353C" w:rsidRDefault="005D7987" w:rsidP="00CA353C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92</w:t>
            </w:r>
          </w:p>
        </w:tc>
      </w:tr>
      <w:tr w:rsidR="00CA353C" w:rsidTr="005D7987">
        <w:tc>
          <w:tcPr>
            <w:tcW w:w="1101" w:type="dxa"/>
          </w:tcPr>
          <w:p w:rsidR="00CA353C" w:rsidRDefault="00CA353C" w:rsidP="00CA353C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3.</w:t>
            </w:r>
          </w:p>
        </w:tc>
        <w:tc>
          <w:tcPr>
            <w:tcW w:w="2272" w:type="dxa"/>
          </w:tcPr>
          <w:p w:rsidR="00CA353C" w:rsidRDefault="00DF3B22" w:rsidP="005E05FE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Skanska Reality</w:t>
            </w:r>
          </w:p>
        </w:tc>
        <w:tc>
          <w:tcPr>
            <w:tcW w:w="3114" w:type="dxa"/>
          </w:tcPr>
          <w:p w:rsidR="00CA353C" w:rsidRDefault="00DF3B22" w:rsidP="00CA353C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6,</w:t>
            </w:r>
            <w:r w:rsidR="005D7987">
              <w:rPr>
                <w:rFonts w:ascii="Arial" w:hAnsi="Arial" w:cs="Arial"/>
                <w:lang w:eastAsia="cs-CZ"/>
              </w:rPr>
              <w:t>7</w:t>
            </w:r>
            <w:r>
              <w:rPr>
                <w:rFonts w:ascii="Arial" w:hAnsi="Arial" w:cs="Arial"/>
                <w:lang w:eastAsia="cs-CZ"/>
              </w:rPr>
              <w:t xml:space="preserve"> %</w:t>
            </w:r>
          </w:p>
        </w:tc>
        <w:tc>
          <w:tcPr>
            <w:tcW w:w="3295" w:type="dxa"/>
          </w:tcPr>
          <w:p w:rsidR="00CA353C" w:rsidRDefault="005D7987" w:rsidP="00CA353C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90</w:t>
            </w:r>
          </w:p>
        </w:tc>
      </w:tr>
      <w:tr w:rsidR="00CA353C" w:rsidTr="005D7987">
        <w:tc>
          <w:tcPr>
            <w:tcW w:w="1101" w:type="dxa"/>
          </w:tcPr>
          <w:p w:rsidR="00CA353C" w:rsidRDefault="00CA353C" w:rsidP="00CA353C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4.</w:t>
            </w:r>
          </w:p>
        </w:tc>
        <w:tc>
          <w:tcPr>
            <w:tcW w:w="2272" w:type="dxa"/>
          </w:tcPr>
          <w:p w:rsidR="00CA353C" w:rsidRDefault="005D7987" w:rsidP="005E05FE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proofErr w:type="spellStart"/>
            <w:r>
              <w:rPr>
                <w:rFonts w:ascii="Arial" w:hAnsi="Arial" w:cs="Arial"/>
                <w:lang w:eastAsia="cs-CZ"/>
              </w:rPr>
              <w:t>Vivus</w:t>
            </w:r>
            <w:proofErr w:type="spellEnd"/>
          </w:p>
        </w:tc>
        <w:tc>
          <w:tcPr>
            <w:tcW w:w="3114" w:type="dxa"/>
          </w:tcPr>
          <w:p w:rsidR="00CA353C" w:rsidRDefault="005D7987" w:rsidP="00CA353C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6,4</w:t>
            </w:r>
            <w:r w:rsidR="00DF3B22">
              <w:rPr>
                <w:rFonts w:ascii="Arial" w:hAnsi="Arial" w:cs="Arial"/>
                <w:lang w:eastAsia="cs-CZ"/>
              </w:rPr>
              <w:t xml:space="preserve"> %</w:t>
            </w:r>
          </w:p>
        </w:tc>
        <w:tc>
          <w:tcPr>
            <w:tcW w:w="3295" w:type="dxa"/>
          </w:tcPr>
          <w:p w:rsidR="00CA353C" w:rsidRDefault="005D7987" w:rsidP="00CA353C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86</w:t>
            </w:r>
          </w:p>
        </w:tc>
      </w:tr>
      <w:tr w:rsidR="00CA353C" w:rsidTr="005D7987">
        <w:tc>
          <w:tcPr>
            <w:tcW w:w="1101" w:type="dxa"/>
          </w:tcPr>
          <w:p w:rsidR="00CA353C" w:rsidRDefault="00CA353C" w:rsidP="00CA353C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5.</w:t>
            </w:r>
          </w:p>
        </w:tc>
        <w:tc>
          <w:tcPr>
            <w:tcW w:w="2272" w:type="dxa"/>
          </w:tcPr>
          <w:p w:rsidR="00CA353C" w:rsidRDefault="005D7987" w:rsidP="005E05FE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proofErr w:type="spellStart"/>
            <w:r>
              <w:rPr>
                <w:rFonts w:ascii="Arial" w:hAnsi="Arial" w:cs="Arial"/>
                <w:lang w:eastAsia="cs-CZ"/>
              </w:rPr>
              <w:t>Afi</w:t>
            </w:r>
            <w:proofErr w:type="spellEnd"/>
            <w:r>
              <w:rPr>
                <w:rFonts w:ascii="Arial" w:hAnsi="Arial" w:cs="Arial"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cs-CZ"/>
              </w:rPr>
              <w:t>Europe</w:t>
            </w:r>
            <w:proofErr w:type="spellEnd"/>
          </w:p>
        </w:tc>
        <w:tc>
          <w:tcPr>
            <w:tcW w:w="3114" w:type="dxa"/>
          </w:tcPr>
          <w:p w:rsidR="00CA353C" w:rsidRDefault="005D7987" w:rsidP="00CA353C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5,9</w:t>
            </w:r>
            <w:r w:rsidR="00DF3B22">
              <w:rPr>
                <w:rFonts w:ascii="Arial" w:hAnsi="Arial" w:cs="Arial"/>
                <w:lang w:eastAsia="cs-CZ"/>
              </w:rPr>
              <w:t xml:space="preserve"> %</w:t>
            </w:r>
          </w:p>
        </w:tc>
        <w:tc>
          <w:tcPr>
            <w:tcW w:w="3295" w:type="dxa"/>
          </w:tcPr>
          <w:p w:rsidR="00CA353C" w:rsidRDefault="005D7987" w:rsidP="00CA353C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80</w:t>
            </w:r>
          </w:p>
        </w:tc>
      </w:tr>
      <w:tr w:rsidR="00CA353C" w:rsidTr="005D7987">
        <w:tc>
          <w:tcPr>
            <w:tcW w:w="1101" w:type="dxa"/>
          </w:tcPr>
          <w:p w:rsidR="00CA353C" w:rsidRDefault="0052137F" w:rsidP="00CA353C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6</w:t>
            </w:r>
            <w:r w:rsidR="00DF3B22">
              <w:rPr>
                <w:rFonts w:ascii="Arial" w:hAnsi="Arial" w:cs="Arial"/>
                <w:lang w:eastAsia="cs-CZ"/>
              </w:rPr>
              <w:t>.</w:t>
            </w:r>
          </w:p>
        </w:tc>
        <w:tc>
          <w:tcPr>
            <w:tcW w:w="2272" w:type="dxa"/>
          </w:tcPr>
          <w:p w:rsidR="00CA353C" w:rsidRDefault="005D7987" w:rsidP="005E05FE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proofErr w:type="spellStart"/>
            <w:r>
              <w:rPr>
                <w:rFonts w:ascii="Arial" w:hAnsi="Arial" w:cs="Arial"/>
                <w:lang w:eastAsia="cs-CZ"/>
              </w:rPr>
              <w:t>Reko</w:t>
            </w:r>
            <w:proofErr w:type="spellEnd"/>
          </w:p>
        </w:tc>
        <w:tc>
          <w:tcPr>
            <w:tcW w:w="3114" w:type="dxa"/>
          </w:tcPr>
          <w:p w:rsidR="00CA353C" w:rsidRDefault="00DF3B22" w:rsidP="00CA353C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3,</w:t>
            </w:r>
            <w:r w:rsidR="005D7987">
              <w:rPr>
                <w:rFonts w:ascii="Arial" w:hAnsi="Arial" w:cs="Arial"/>
                <w:lang w:eastAsia="cs-CZ"/>
              </w:rPr>
              <w:t>3</w:t>
            </w:r>
            <w:r>
              <w:rPr>
                <w:rFonts w:ascii="Arial" w:hAnsi="Arial" w:cs="Arial"/>
                <w:lang w:eastAsia="cs-CZ"/>
              </w:rPr>
              <w:t xml:space="preserve"> %</w:t>
            </w:r>
          </w:p>
        </w:tc>
        <w:tc>
          <w:tcPr>
            <w:tcW w:w="3295" w:type="dxa"/>
          </w:tcPr>
          <w:p w:rsidR="00CA353C" w:rsidRDefault="005D7987" w:rsidP="00CA353C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45</w:t>
            </w:r>
          </w:p>
        </w:tc>
      </w:tr>
      <w:tr w:rsidR="00CA353C" w:rsidTr="005D7987">
        <w:tc>
          <w:tcPr>
            <w:tcW w:w="1101" w:type="dxa"/>
          </w:tcPr>
          <w:p w:rsidR="00CA353C" w:rsidRDefault="00CA353C" w:rsidP="0052137F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7.</w:t>
            </w:r>
          </w:p>
        </w:tc>
        <w:tc>
          <w:tcPr>
            <w:tcW w:w="2272" w:type="dxa"/>
          </w:tcPr>
          <w:p w:rsidR="00CA353C" w:rsidRDefault="005D7987" w:rsidP="005E05FE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UDI</w:t>
            </w:r>
          </w:p>
        </w:tc>
        <w:tc>
          <w:tcPr>
            <w:tcW w:w="3114" w:type="dxa"/>
          </w:tcPr>
          <w:p w:rsidR="00CA353C" w:rsidRDefault="005D7987" w:rsidP="00CA353C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3,2</w:t>
            </w:r>
            <w:r w:rsidR="00DF3B22">
              <w:rPr>
                <w:rFonts w:ascii="Arial" w:hAnsi="Arial" w:cs="Arial"/>
                <w:lang w:eastAsia="cs-CZ"/>
              </w:rPr>
              <w:t xml:space="preserve"> %</w:t>
            </w:r>
          </w:p>
        </w:tc>
        <w:tc>
          <w:tcPr>
            <w:tcW w:w="3295" w:type="dxa"/>
          </w:tcPr>
          <w:p w:rsidR="00CA353C" w:rsidRDefault="005D7987" w:rsidP="00CA353C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44</w:t>
            </w:r>
          </w:p>
        </w:tc>
      </w:tr>
      <w:tr w:rsidR="00CA353C" w:rsidTr="005D7987">
        <w:tc>
          <w:tcPr>
            <w:tcW w:w="1101" w:type="dxa"/>
          </w:tcPr>
          <w:p w:rsidR="00CA353C" w:rsidRDefault="00DF3B22" w:rsidP="00DF3B22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 xml:space="preserve"> </w:t>
            </w:r>
            <w:r w:rsidR="00CA353C">
              <w:rPr>
                <w:rFonts w:ascii="Arial" w:hAnsi="Arial" w:cs="Arial"/>
                <w:lang w:eastAsia="cs-CZ"/>
              </w:rPr>
              <w:t>8.</w:t>
            </w:r>
          </w:p>
        </w:tc>
        <w:tc>
          <w:tcPr>
            <w:tcW w:w="2272" w:type="dxa"/>
          </w:tcPr>
          <w:p w:rsidR="00CA353C" w:rsidRDefault="005D7987" w:rsidP="005E05FE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proofErr w:type="spellStart"/>
            <w:r>
              <w:rPr>
                <w:rFonts w:ascii="Arial" w:hAnsi="Arial" w:cs="Arial"/>
                <w:lang w:eastAsia="cs-CZ"/>
              </w:rPr>
              <w:t>Develop</w:t>
            </w:r>
            <w:proofErr w:type="spellEnd"/>
            <w:r>
              <w:rPr>
                <w:rFonts w:ascii="Arial" w:hAnsi="Arial" w:cs="Arial"/>
                <w:lang w:eastAsia="cs-CZ"/>
              </w:rPr>
              <w:t xml:space="preserve"> Invest</w:t>
            </w:r>
          </w:p>
        </w:tc>
        <w:tc>
          <w:tcPr>
            <w:tcW w:w="3114" w:type="dxa"/>
          </w:tcPr>
          <w:p w:rsidR="00CA353C" w:rsidRDefault="00DF3B22" w:rsidP="00CA353C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2,</w:t>
            </w:r>
            <w:r w:rsidR="008A1E98">
              <w:rPr>
                <w:rFonts w:ascii="Arial" w:hAnsi="Arial" w:cs="Arial"/>
                <w:lang w:eastAsia="cs-CZ"/>
              </w:rPr>
              <w:t>6</w:t>
            </w:r>
            <w:r>
              <w:rPr>
                <w:rFonts w:ascii="Arial" w:hAnsi="Arial" w:cs="Arial"/>
                <w:lang w:eastAsia="cs-CZ"/>
              </w:rPr>
              <w:t xml:space="preserve"> %</w:t>
            </w:r>
          </w:p>
        </w:tc>
        <w:tc>
          <w:tcPr>
            <w:tcW w:w="3295" w:type="dxa"/>
          </w:tcPr>
          <w:p w:rsidR="00CA353C" w:rsidRDefault="008A1E98" w:rsidP="00CA353C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35</w:t>
            </w:r>
          </w:p>
        </w:tc>
      </w:tr>
      <w:tr w:rsidR="00CA353C" w:rsidTr="005D7987">
        <w:tc>
          <w:tcPr>
            <w:tcW w:w="1101" w:type="dxa"/>
          </w:tcPr>
          <w:p w:rsidR="00CA353C" w:rsidRDefault="00CA353C" w:rsidP="00CA353C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9.</w:t>
            </w:r>
          </w:p>
        </w:tc>
        <w:tc>
          <w:tcPr>
            <w:tcW w:w="2272" w:type="dxa"/>
          </w:tcPr>
          <w:p w:rsidR="00CA353C" w:rsidRDefault="00AB2687" w:rsidP="005E05FE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proofErr w:type="spellStart"/>
            <w:r>
              <w:rPr>
                <w:rFonts w:ascii="Arial" w:hAnsi="Arial" w:cs="Arial"/>
                <w:lang w:eastAsia="cs-CZ"/>
              </w:rPr>
              <w:t>Daramis</w:t>
            </w:r>
            <w:proofErr w:type="spellEnd"/>
          </w:p>
        </w:tc>
        <w:tc>
          <w:tcPr>
            <w:tcW w:w="3114" w:type="dxa"/>
          </w:tcPr>
          <w:p w:rsidR="00CA353C" w:rsidRDefault="00DF3B22" w:rsidP="00CA353C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2,</w:t>
            </w:r>
            <w:r w:rsidR="008A1E98">
              <w:rPr>
                <w:rFonts w:ascii="Arial" w:hAnsi="Arial" w:cs="Arial"/>
                <w:lang w:eastAsia="cs-CZ"/>
              </w:rPr>
              <w:t>5</w:t>
            </w:r>
            <w:r>
              <w:rPr>
                <w:rFonts w:ascii="Arial" w:hAnsi="Arial" w:cs="Arial"/>
                <w:lang w:eastAsia="cs-CZ"/>
              </w:rPr>
              <w:t xml:space="preserve"> %</w:t>
            </w:r>
          </w:p>
        </w:tc>
        <w:tc>
          <w:tcPr>
            <w:tcW w:w="3295" w:type="dxa"/>
          </w:tcPr>
          <w:p w:rsidR="00CA353C" w:rsidRDefault="008A1E98" w:rsidP="00CA353C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34</w:t>
            </w:r>
          </w:p>
        </w:tc>
      </w:tr>
      <w:tr w:rsidR="00CA353C" w:rsidTr="005D7987">
        <w:tc>
          <w:tcPr>
            <w:tcW w:w="1101" w:type="dxa"/>
          </w:tcPr>
          <w:p w:rsidR="00CA353C" w:rsidRDefault="00CA353C" w:rsidP="00CA353C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10.</w:t>
            </w:r>
          </w:p>
        </w:tc>
        <w:tc>
          <w:tcPr>
            <w:tcW w:w="2272" w:type="dxa"/>
          </w:tcPr>
          <w:p w:rsidR="00CA353C" w:rsidRDefault="008A1E98" w:rsidP="005E05FE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proofErr w:type="spellStart"/>
            <w:r>
              <w:rPr>
                <w:rFonts w:ascii="Arial" w:hAnsi="Arial" w:cs="Arial"/>
                <w:lang w:eastAsia="cs-CZ"/>
              </w:rPr>
              <w:t>Crestyl</w:t>
            </w:r>
            <w:proofErr w:type="spellEnd"/>
          </w:p>
        </w:tc>
        <w:tc>
          <w:tcPr>
            <w:tcW w:w="3114" w:type="dxa"/>
          </w:tcPr>
          <w:p w:rsidR="00CA353C" w:rsidRDefault="0052137F" w:rsidP="00CA353C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2,</w:t>
            </w:r>
            <w:r w:rsidR="008A1E98">
              <w:rPr>
                <w:rFonts w:ascii="Arial" w:hAnsi="Arial" w:cs="Arial"/>
                <w:lang w:eastAsia="cs-CZ"/>
              </w:rPr>
              <w:t>4</w:t>
            </w:r>
            <w:r>
              <w:rPr>
                <w:rFonts w:ascii="Arial" w:hAnsi="Arial" w:cs="Arial"/>
                <w:lang w:eastAsia="cs-CZ"/>
              </w:rPr>
              <w:t xml:space="preserve"> %</w:t>
            </w:r>
          </w:p>
        </w:tc>
        <w:tc>
          <w:tcPr>
            <w:tcW w:w="3295" w:type="dxa"/>
          </w:tcPr>
          <w:p w:rsidR="00CA353C" w:rsidRDefault="008A1E98" w:rsidP="00CA353C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32</w:t>
            </w:r>
          </w:p>
        </w:tc>
      </w:tr>
      <w:tr w:rsidR="00DF3B22" w:rsidTr="005D7987">
        <w:tc>
          <w:tcPr>
            <w:tcW w:w="1101" w:type="dxa"/>
          </w:tcPr>
          <w:p w:rsidR="00DF3B22" w:rsidRDefault="00DF3B22" w:rsidP="00CA353C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11.</w:t>
            </w:r>
            <w:r w:rsidR="008A1E98">
              <w:rPr>
                <w:rFonts w:ascii="Arial" w:hAnsi="Arial" w:cs="Arial"/>
                <w:lang w:eastAsia="cs-CZ"/>
              </w:rPr>
              <w:t xml:space="preserve"> – 12.</w:t>
            </w:r>
          </w:p>
        </w:tc>
        <w:tc>
          <w:tcPr>
            <w:tcW w:w="2272" w:type="dxa"/>
          </w:tcPr>
          <w:p w:rsidR="00DF3B22" w:rsidRDefault="006870C0" w:rsidP="005E05FE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proofErr w:type="spellStart"/>
            <w:r>
              <w:rPr>
                <w:rFonts w:ascii="Arial" w:hAnsi="Arial" w:cs="Arial"/>
                <w:lang w:eastAsia="cs-CZ"/>
              </w:rPr>
              <w:t>Trigema</w:t>
            </w:r>
            <w:proofErr w:type="spellEnd"/>
          </w:p>
        </w:tc>
        <w:tc>
          <w:tcPr>
            <w:tcW w:w="3114" w:type="dxa"/>
          </w:tcPr>
          <w:p w:rsidR="00DF3B22" w:rsidRDefault="0052137F" w:rsidP="00CA353C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2,</w:t>
            </w:r>
            <w:r w:rsidR="008A1E98">
              <w:rPr>
                <w:rFonts w:ascii="Arial" w:hAnsi="Arial" w:cs="Arial"/>
                <w:lang w:eastAsia="cs-CZ"/>
              </w:rPr>
              <w:t>3</w:t>
            </w:r>
            <w:r>
              <w:rPr>
                <w:rFonts w:ascii="Arial" w:hAnsi="Arial" w:cs="Arial"/>
                <w:lang w:eastAsia="cs-CZ"/>
              </w:rPr>
              <w:t xml:space="preserve"> %</w:t>
            </w:r>
          </w:p>
        </w:tc>
        <w:tc>
          <w:tcPr>
            <w:tcW w:w="3295" w:type="dxa"/>
          </w:tcPr>
          <w:p w:rsidR="00DF3B22" w:rsidRDefault="008A1E98" w:rsidP="00CA353C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31</w:t>
            </w:r>
          </w:p>
        </w:tc>
      </w:tr>
      <w:tr w:rsidR="00DF3B22" w:rsidTr="005D7987">
        <w:tc>
          <w:tcPr>
            <w:tcW w:w="1101" w:type="dxa"/>
          </w:tcPr>
          <w:p w:rsidR="00DF3B22" w:rsidRDefault="008A1E98" w:rsidP="00CA353C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 xml:space="preserve">11. – </w:t>
            </w:r>
            <w:r w:rsidR="00DF3B22">
              <w:rPr>
                <w:rFonts w:ascii="Arial" w:hAnsi="Arial" w:cs="Arial"/>
                <w:lang w:eastAsia="cs-CZ"/>
              </w:rPr>
              <w:t>12.</w:t>
            </w:r>
          </w:p>
        </w:tc>
        <w:tc>
          <w:tcPr>
            <w:tcW w:w="2272" w:type="dxa"/>
          </w:tcPr>
          <w:p w:rsidR="00DF3B22" w:rsidRDefault="006870C0" w:rsidP="005E05FE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 xml:space="preserve">Real </w:t>
            </w:r>
            <w:proofErr w:type="spellStart"/>
            <w:r>
              <w:rPr>
                <w:rFonts w:ascii="Arial" w:hAnsi="Arial" w:cs="Arial"/>
                <w:lang w:eastAsia="cs-CZ"/>
              </w:rPr>
              <w:t>Treuhand</w:t>
            </w:r>
            <w:proofErr w:type="spellEnd"/>
          </w:p>
        </w:tc>
        <w:tc>
          <w:tcPr>
            <w:tcW w:w="3114" w:type="dxa"/>
          </w:tcPr>
          <w:p w:rsidR="00DF3B22" w:rsidRDefault="008A1E98" w:rsidP="00CA353C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2,3</w:t>
            </w:r>
            <w:r w:rsidR="0052137F">
              <w:rPr>
                <w:rFonts w:ascii="Arial" w:hAnsi="Arial" w:cs="Arial"/>
                <w:lang w:eastAsia="cs-CZ"/>
              </w:rPr>
              <w:t xml:space="preserve"> %</w:t>
            </w:r>
          </w:p>
        </w:tc>
        <w:tc>
          <w:tcPr>
            <w:tcW w:w="3295" w:type="dxa"/>
          </w:tcPr>
          <w:p w:rsidR="00DF3B22" w:rsidRDefault="008A1E98" w:rsidP="0052137F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31</w:t>
            </w:r>
          </w:p>
        </w:tc>
      </w:tr>
      <w:tr w:rsidR="00DF3B22" w:rsidTr="005D7987">
        <w:tc>
          <w:tcPr>
            <w:tcW w:w="1101" w:type="dxa"/>
          </w:tcPr>
          <w:p w:rsidR="00DF3B22" w:rsidRDefault="00DF3B22" w:rsidP="00CA353C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13.</w:t>
            </w:r>
          </w:p>
        </w:tc>
        <w:tc>
          <w:tcPr>
            <w:tcW w:w="2272" w:type="dxa"/>
          </w:tcPr>
          <w:p w:rsidR="00DF3B22" w:rsidRDefault="0052137F" w:rsidP="005E05FE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P</w:t>
            </w:r>
            <w:r w:rsidR="008A1E98">
              <w:rPr>
                <w:rFonts w:ascii="Arial" w:hAnsi="Arial" w:cs="Arial"/>
                <w:lang w:eastAsia="cs-CZ"/>
              </w:rPr>
              <w:t>SN</w:t>
            </w:r>
          </w:p>
        </w:tc>
        <w:tc>
          <w:tcPr>
            <w:tcW w:w="3114" w:type="dxa"/>
          </w:tcPr>
          <w:p w:rsidR="00DF3B22" w:rsidRDefault="0052137F" w:rsidP="00CA353C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2,</w:t>
            </w:r>
            <w:r w:rsidR="008A1E98">
              <w:rPr>
                <w:rFonts w:ascii="Arial" w:hAnsi="Arial" w:cs="Arial"/>
                <w:lang w:eastAsia="cs-CZ"/>
              </w:rPr>
              <w:t xml:space="preserve">2 </w:t>
            </w:r>
            <w:r>
              <w:rPr>
                <w:rFonts w:ascii="Arial" w:hAnsi="Arial" w:cs="Arial"/>
                <w:lang w:eastAsia="cs-CZ"/>
              </w:rPr>
              <w:t>%</w:t>
            </w:r>
          </w:p>
        </w:tc>
        <w:tc>
          <w:tcPr>
            <w:tcW w:w="3295" w:type="dxa"/>
          </w:tcPr>
          <w:p w:rsidR="00DF3B22" w:rsidRDefault="008A1E98" w:rsidP="00CA353C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30</w:t>
            </w:r>
          </w:p>
        </w:tc>
      </w:tr>
      <w:tr w:rsidR="00DF3B22" w:rsidTr="005D7987">
        <w:tc>
          <w:tcPr>
            <w:tcW w:w="1101" w:type="dxa"/>
          </w:tcPr>
          <w:p w:rsidR="00DF3B22" w:rsidRDefault="00DF3B22" w:rsidP="00CA353C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14.</w:t>
            </w:r>
          </w:p>
        </w:tc>
        <w:tc>
          <w:tcPr>
            <w:tcW w:w="2272" w:type="dxa"/>
          </w:tcPr>
          <w:p w:rsidR="00DF3B22" w:rsidRDefault="0052137F" w:rsidP="005E05FE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proofErr w:type="spellStart"/>
            <w:r>
              <w:rPr>
                <w:rFonts w:ascii="Arial" w:hAnsi="Arial" w:cs="Arial"/>
                <w:lang w:eastAsia="cs-CZ"/>
              </w:rPr>
              <w:t>Horizon</w:t>
            </w:r>
            <w:proofErr w:type="spellEnd"/>
            <w:r>
              <w:rPr>
                <w:rFonts w:ascii="Arial" w:hAnsi="Arial" w:cs="Arial"/>
                <w:lang w:eastAsia="cs-CZ"/>
              </w:rPr>
              <w:t xml:space="preserve"> Holding</w:t>
            </w:r>
          </w:p>
        </w:tc>
        <w:tc>
          <w:tcPr>
            <w:tcW w:w="3114" w:type="dxa"/>
          </w:tcPr>
          <w:p w:rsidR="00DF3B22" w:rsidRDefault="0052137F" w:rsidP="00CA353C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2,1 %</w:t>
            </w:r>
          </w:p>
        </w:tc>
        <w:tc>
          <w:tcPr>
            <w:tcW w:w="3295" w:type="dxa"/>
          </w:tcPr>
          <w:p w:rsidR="00DF3B22" w:rsidRDefault="008A1E98" w:rsidP="00CA353C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28</w:t>
            </w:r>
          </w:p>
        </w:tc>
      </w:tr>
      <w:tr w:rsidR="00DF3B22" w:rsidTr="005D7987">
        <w:tc>
          <w:tcPr>
            <w:tcW w:w="1101" w:type="dxa"/>
          </w:tcPr>
          <w:p w:rsidR="00DF3B22" w:rsidRDefault="00DF3B22" w:rsidP="00DF3B22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15.</w:t>
            </w:r>
          </w:p>
        </w:tc>
        <w:tc>
          <w:tcPr>
            <w:tcW w:w="2272" w:type="dxa"/>
          </w:tcPr>
          <w:p w:rsidR="00DF3B22" w:rsidRDefault="008A1E98" w:rsidP="005E05FE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proofErr w:type="spellStart"/>
            <w:r>
              <w:rPr>
                <w:rFonts w:ascii="Arial" w:hAnsi="Arial" w:cs="Arial"/>
                <w:lang w:eastAsia="cs-CZ"/>
              </w:rPr>
              <w:t>Neocity</w:t>
            </w:r>
            <w:proofErr w:type="spellEnd"/>
            <w:r>
              <w:rPr>
                <w:rFonts w:ascii="Arial" w:hAnsi="Arial" w:cs="Arial"/>
                <w:lang w:eastAsia="cs-CZ"/>
              </w:rPr>
              <w:t xml:space="preserve"> Group</w:t>
            </w:r>
          </w:p>
        </w:tc>
        <w:tc>
          <w:tcPr>
            <w:tcW w:w="3114" w:type="dxa"/>
          </w:tcPr>
          <w:p w:rsidR="00DF3B22" w:rsidRDefault="008A1E98" w:rsidP="00CA353C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1,8</w:t>
            </w:r>
            <w:r w:rsidR="0052137F">
              <w:rPr>
                <w:rFonts w:ascii="Arial" w:hAnsi="Arial" w:cs="Arial"/>
                <w:lang w:eastAsia="cs-CZ"/>
              </w:rPr>
              <w:t xml:space="preserve"> %</w:t>
            </w:r>
          </w:p>
        </w:tc>
        <w:tc>
          <w:tcPr>
            <w:tcW w:w="3295" w:type="dxa"/>
          </w:tcPr>
          <w:p w:rsidR="00DF3B22" w:rsidRDefault="008A1E98" w:rsidP="00CA353C">
            <w:pPr>
              <w:spacing w:after="0"/>
              <w:contextualSpacing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24</w:t>
            </w:r>
          </w:p>
        </w:tc>
      </w:tr>
      <w:tr w:rsidR="0052137F" w:rsidTr="005D7987">
        <w:tc>
          <w:tcPr>
            <w:tcW w:w="6487" w:type="dxa"/>
            <w:gridSpan w:val="3"/>
          </w:tcPr>
          <w:p w:rsidR="0052137F" w:rsidRPr="009653E0" w:rsidRDefault="0052137F" w:rsidP="0052137F">
            <w:pPr>
              <w:spacing w:after="0"/>
              <w:contextualSpacing/>
              <w:rPr>
                <w:rFonts w:ascii="Arial" w:hAnsi="Arial" w:cs="Arial"/>
                <w:b/>
                <w:lang w:eastAsia="cs-CZ"/>
              </w:rPr>
            </w:pPr>
            <w:r w:rsidRPr="009653E0">
              <w:rPr>
                <w:rFonts w:ascii="Arial" w:hAnsi="Arial" w:cs="Arial"/>
                <w:b/>
                <w:lang w:eastAsia="cs-CZ"/>
              </w:rPr>
              <w:t>Celkem v Praze prodáno</w:t>
            </w:r>
            <w:r w:rsidR="00EB6EE8" w:rsidRPr="009653E0">
              <w:rPr>
                <w:rFonts w:ascii="Arial" w:hAnsi="Arial" w:cs="Arial"/>
                <w:b/>
                <w:lang w:eastAsia="cs-CZ"/>
              </w:rPr>
              <w:t xml:space="preserve"> všemi developery</w:t>
            </w:r>
          </w:p>
        </w:tc>
        <w:tc>
          <w:tcPr>
            <w:tcW w:w="3295" w:type="dxa"/>
          </w:tcPr>
          <w:p w:rsidR="0052137F" w:rsidRPr="009653E0" w:rsidRDefault="008A1E98" w:rsidP="00CA353C">
            <w:pPr>
              <w:spacing w:after="0"/>
              <w:contextualSpacing/>
              <w:jc w:val="center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1350</w:t>
            </w:r>
          </w:p>
        </w:tc>
      </w:tr>
    </w:tbl>
    <w:p w:rsidR="009653E0" w:rsidRPr="0032321E" w:rsidRDefault="006870C0" w:rsidP="005E05FE">
      <w:pPr>
        <w:spacing w:after="0"/>
        <w:contextualSpacing/>
        <w:jc w:val="both"/>
        <w:rPr>
          <w:rFonts w:ascii="Arial" w:hAnsi="Arial" w:cs="Arial"/>
          <w:i/>
          <w:sz w:val="18"/>
          <w:szCs w:val="18"/>
          <w:lang w:eastAsia="cs-CZ"/>
        </w:rPr>
      </w:pPr>
      <w:r>
        <w:rPr>
          <w:rFonts w:ascii="Arial" w:hAnsi="Arial" w:cs="Arial"/>
          <w:i/>
          <w:sz w:val="18"/>
          <w:szCs w:val="18"/>
          <w:lang w:eastAsia="cs-CZ"/>
        </w:rPr>
        <w:t>Zdroj: S</w:t>
      </w:r>
      <w:bookmarkStart w:id="1" w:name="_GoBack"/>
      <w:bookmarkEnd w:id="1"/>
      <w:r w:rsidR="009653E0" w:rsidRPr="0032321E">
        <w:rPr>
          <w:rFonts w:ascii="Arial" w:hAnsi="Arial" w:cs="Arial"/>
          <w:i/>
          <w:sz w:val="18"/>
          <w:szCs w:val="18"/>
          <w:lang w:eastAsia="cs-CZ"/>
        </w:rPr>
        <w:t xml:space="preserve">polečné analýzy </w:t>
      </w:r>
      <w:proofErr w:type="spellStart"/>
      <w:r w:rsidR="009653E0" w:rsidRPr="0032321E">
        <w:rPr>
          <w:rFonts w:ascii="Arial" w:hAnsi="Arial" w:cs="Arial"/>
          <w:i/>
          <w:sz w:val="18"/>
          <w:szCs w:val="18"/>
          <w:lang w:eastAsia="cs-CZ"/>
        </w:rPr>
        <w:t>Trigema</w:t>
      </w:r>
      <w:proofErr w:type="spellEnd"/>
      <w:r w:rsidR="009653E0" w:rsidRPr="0032321E">
        <w:rPr>
          <w:rFonts w:ascii="Arial" w:hAnsi="Arial" w:cs="Arial"/>
          <w:i/>
          <w:sz w:val="18"/>
          <w:szCs w:val="18"/>
          <w:lang w:eastAsia="cs-CZ"/>
        </w:rPr>
        <w:t>, Skanska Reality</w:t>
      </w:r>
      <w:r w:rsidR="008A1E98">
        <w:rPr>
          <w:rFonts w:ascii="Arial" w:hAnsi="Arial" w:cs="Arial"/>
          <w:i/>
          <w:sz w:val="18"/>
          <w:szCs w:val="18"/>
          <w:lang w:eastAsia="cs-CZ"/>
        </w:rPr>
        <w:t xml:space="preserve"> a </w:t>
      </w:r>
      <w:proofErr w:type="spellStart"/>
      <w:r w:rsidR="008A1E98">
        <w:rPr>
          <w:rFonts w:ascii="Arial" w:hAnsi="Arial" w:cs="Arial"/>
          <w:i/>
          <w:sz w:val="18"/>
          <w:szCs w:val="18"/>
          <w:lang w:eastAsia="cs-CZ"/>
        </w:rPr>
        <w:t>Central</w:t>
      </w:r>
      <w:proofErr w:type="spellEnd"/>
      <w:r w:rsidR="008A1E98">
        <w:rPr>
          <w:rFonts w:ascii="Arial" w:hAnsi="Arial" w:cs="Arial"/>
          <w:i/>
          <w:sz w:val="18"/>
          <w:szCs w:val="18"/>
          <w:lang w:eastAsia="cs-CZ"/>
        </w:rPr>
        <w:t xml:space="preserve"> Group</w:t>
      </w:r>
      <w:r w:rsidR="009653E0" w:rsidRPr="0032321E">
        <w:rPr>
          <w:rFonts w:ascii="Arial" w:hAnsi="Arial" w:cs="Arial"/>
          <w:i/>
          <w:sz w:val="18"/>
          <w:szCs w:val="18"/>
          <w:lang w:eastAsia="cs-CZ"/>
        </w:rPr>
        <w:t>.</w:t>
      </w:r>
      <w:r w:rsidR="004F1830" w:rsidRPr="0032321E">
        <w:rPr>
          <w:rFonts w:ascii="Arial" w:hAnsi="Arial" w:cs="Arial"/>
          <w:i/>
          <w:sz w:val="18"/>
          <w:szCs w:val="18"/>
          <w:lang w:eastAsia="cs-CZ"/>
        </w:rPr>
        <w:t xml:space="preserve"> Počty bytů jsou vykázány na základě úbytku bytů z internetových ceníků developerů mezi 1. 1. 201</w:t>
      </w:r>
      <w:r w:rsidR="008A1E98">
        <w:rPr>
          <w:rFonts w:ascii="Arial" w:hAnsi="Arial" w:cs="Arial"/>
          <w:i/>
          <w:sz w:val="18"/>
          <w:szCs w:val="18"/>
          <w:lang w:eastAsia="cs-CZ"/>
        </w:rPr>
        <w:t>7</w:t>
      </w:r>
      <w:r w:rsidR="004F1830" w:rsidRPr="0032321E">
        <w:rPr>
          <w:rFonts w:ascii="Arial" w:hAnsi="Arial" w:cs="Arial"/>
          <w:i/>
          <w:sz w:val="18"/>
          <w:szCs w:val="18"/>
          <w:lang w:eastAsia="cs-CZ"/>
        </w:rPr>
        <w:t xml:space="preserve"> a 31. </w:t>
      </w:r>
      <w:r w:rsidR="008A1E98">
        <w:rPr>
          <w:rFonts w:ascii="Arial" w:hAnsi="Arial" w:cs="Arial"/>
          <w:i/>
          <w:sz w:val="18"/>
          <w:szCs w:val="18"/>
          <w:lang w:eastAsia="cs-CZ"/>
        </w:rPr>
        <w:t>3</w:t>
      </w:r>
      <w:r w:rsidR="004F1830" w:rsidRPr="0032321E">
        <w:rPr>
          <w:rFonts w:ascii="Arial" w:hAnsi="Arial" w:cs="Arial"/>
          <w:i/>
          <w:sz w:val="18"/>
          <w:szCs w:val="18"/>
          <w:lang w:eastAsia="cs-CZ"/>
        </w:rPr>
        <w:t>. 201</w:t>
      </w:r>
      <w:r w:rsidR="008A1E98">
        <w:rPr>
          <w:rFonts w:ascii="Arial" w:hAnsi="Arial" w:cs="Arial"/>
          <w:i/>
          <w:sz w:val="18"/>
          <w:szCs w:val="18"/>
          <w:lang w:eastAsia="cs-CZ"/>
        </w:rPr>
        <w:t>7</w:t>
      </w:r>
      <w:r w:rsidR="004F1830" w:rsidRPr="0032321E">
        <w:rPr>
          <w:rFonts w:ascii="Arial" w:hAnsi="Arial" w:cs="Arial"/>
          <w:i/>
          <w:sz w:val="18"/>
          <w:szCs w:val="18"/>
          <w:lang w:eastAsia="cs-CZ"/>
        </w:rPr>
        <w:t xml:space="preserve">. </w:t>
      </w:r>
      <w:r w:rsidR="009653E0" w:rsidRPr="0032321E">
        <w:rPr>
          <w:rFonts w:ascii="Arial" w:hAnsi="Arial" w:cs="Arial"/>
          <w:i/>
          <w:sz w:val="18"/>
          <w:szCs w:val="18"/>
          <w:lang w:eastAsia="cs-CZ"/>
        </w:rPr>
        <w:t xml:space="preserve">U společností podnikajících i mimo Prahu tabulka zahrnuje jen podané byty na území hlavního města. Nejsou zde započítány také blokové prodeje celých projektů jiným subjektům například družstvům, v případě, že jsou byty nadále v prodeji u těchto sekundárních prodejců. </w:t>
      </w:r>
    </w:p>
    <w:p w:rsidR="009653E0" w:rsidRDefault="009653E0" w:rsidP="005E05F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8A1E98" w:rsidRDefault="008A1E98" w:rsidP="008A1E98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V situaci, kdy se naplno projevují důsledky omezeného a dlouhého povolování bytové výstavby, mají výhodu ty největší firmy, které současně pracují </w:t>
      </w:r>
      <w:r w:rsidRPr="00E72699">
        <w:rPr>
          <w:rFonts w:ascii="Arial" w:hAnsi="Arial" w:cs="Arial"/>
          <w:lang w:eastAsia="cs-CZ"/>
        </w:rPr>
        <w:t xml:space="preserve">na přípravě řady projektů a pokud se v důsledku </w:t>
      </w:r>
      <w:r w:rsidRPr="00E72699">
        <w:rPr>
          <w:rFonts w:ascii="Arial" w:hAnsi="Arial" w:cs="Arial"/>
          <w:lang w:eastAsia="cs-CZ"/>
        </w:rPr>
        <w:lastRenderedPageBreak/>
        <w:t xml:space="preserve">sporů prodlouží vydání potřebných povolení u </w:t>
      </w:r>
      <w:r w:rsidR="00AB2687">
        <w:rPr>
          <w:rFonts w:ascii="Arial" w:hAnsi="Arial" w:cs="Arial"/>
          <w:lang w:eastAsia="cs-CZ"/>
        </w:rPr>
        <w:t>některého</w:t>
      </w:r>
      <w:r w:rsidRPr="00E72699">
        <w:rPr>
          <w:rFonts w:ascii="Arial" w:hAnsi="Arial" w:cs="Arial"/>
          <w:lang w:eastAsia="cs-CZ"/>
        </w:rPr>
        <w:t xml:space="preserve"> z nich, firmy jsou obvykle schopny nabídnout jiný projekt. Pro menší hráče může být ale tato situace fatální. </w:t>
      </w:r>
    </w:p>
    <w:p w:rsidR="008A1E98" w:rsidRDefault="008A1E98" w:rsidP="008A1E98">
      <w:pPr>
        <w:spacing w:after="0"/>
        <w:contextualSpacing/>
        <w:jc w:val="both"/>
        <w:rPr>
          <w:rFonts w:ascii="Arial" w:hAnsi="Arial" w:cs="Arial"/>
          <w:i/>
          <w:lang w:eastAsia="cs-CZ"/>
        </w:rPr>
      </w:pPr>
    </w:p>
    <w:p w:rsidR="00CB56BD" w:rsidRDefault="00C50A86" w:rsidP="00CB56BD">
      <w:pPr>
        <w:spacing w:after="0"/>
        <w:contextualSpacing/>
        <w:jc w:val="both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 je dlouhodobě n</w:t>
      </w:r>
      <w:r w:rsidR="0052137F">
        <w:rPr>
          <w:rFonts w:ascii="Arial" w:hAnsi="Arial" w:cs="Arial"/>
          <w:lang w:eastAsia="cs-CZ"/>
        </w:rPr>
        <w:t xml:space="preserve">ejvětším stavitelem nových bytů </w:t>
      </w:r>
      <w:r w:rsidR="0052137F" w:rsidRPr="006D26FA">
        <w:rPr>
          <w:rFonts w:ascii="Arial" w:hAnsi="Arial" w:cs="Arial"/>
          <w:lang w:eastAsia="cs-CZ"/>
        </w:rPr>
        <w:t>v Praze i celém Česku</w:t>
      </w:r>
      <w:r>
        <w:rPr>
          <w:rFonts w:ascii="Arial" w:hAnsi="Arial" w:cs="Arial"/>
          <w:lang w:eastAsia="cs-CZ"/>
        </w:rPr>
        <w:t>. V</w:t>
      </w:r>
      <w:r w:rsidR="0052137F">
        <w:rPr>
          <w:rFonts w:ascii="Arial" w:hAnsi="Arial" w:cs="Arial"/>
          <w:lang w:eastAsia="cs-CZ"/>
        </w:rPr>
        <w:t>loni</w:t>
      </w:r>
      <w:r w:rsidR="0052137F" w:rsidRPr="006D26FA">
        <w:rPr>
          <w:rFonts w:ascii="Arial" w:hAnsi="Arial" w:cs="Arial"/>
          <w:lang w:eastAsia="cs-CZ"/>
        </w:rPr>
        <w:t xml:space="preserve"> </w:t>
      </w:r>
      <w:r w:rsidR="0052137F">
        <w:rPr>
          <w:rFonts w:ascii="Arial" w:hAnsi="Arial" w:cs="Arial"/>
          <w:lang w:eastAsia="cs-CZ"/>
        </w:rPr>
        <w:t xml:space="preserve">prodal 1243 bytů </w:t>
      </w:r>
      <w:r>
        <w:rPr>
          <w:rFonts w:ascii="Arial" w:hAnsi="Arial" w:cs="Arial"/>
          <w:lang w:eastAsia="cs-CZ"/>
        </w:rPr>
        <w:t>za 5,2 miliardy ko</w:t>
      </w:r>
      <w:r w:rsidR="00AE40AB">
        <w:rPr>
          <w:rFonts w:ascii="Arial" w:hAnsi="Arial" w:cs="Arial"/>
          <w:lang w:eastAsia="cs-CZ"/>
        </w:rPr>
        <w:t>r</w:t>
      </w:r>
      <w:r>
        <w:rPr>
          <w:rFonts w:ascii="Arial" w:hAnsi="Arial" w:cs="Arial"/>
          <w:lang w:eastAsia="cs-CZ"/>
        </w:rPr>
        <w:t>un</w:t>
      </w:r>
      <w:r w:rsidR="003E7335">
        <w:rPr>
          <w:rFonts w:ascii="Arial" w:hAnsi="Arial" w:cs="Arial"/>
          <w:lang w:eastAsia="cs-CZ"/>
        </w:rPr>
        <w:t xml:space="preserve"> a letos za první čtvrtletí pak dalších </w:t>
      </w:r>
      <w:r w:rsidR="008A1E98">
        <w:rPr>
          <w:rFonts w:ascii="Arial" w:hAnsi="Arial" w:cs="Arial"/>
          <w:lang w:eastAsia="cs-CZ"/>
        </w:rPr>
        <w:t>246 bytů</w:t>
      </w:r>
      <w:r w:rsidR="00BE1539">
        <w:rPr>
          <w:rFonts w:ascii="Arial" w:hAnsi="Arial" w:cs="Arial"/>
          <w:lang w:eastAsia="cs-CZ"/>
        </w:rPr>
        <w:t>. N</w:t>
      </w:r>
      <w:r w:rsidR="0052137F" w:rsidRPr="006D26FA">
        <w:rPr>
          <w:rFonts w:ascii="Arial" w:hAnsi="Arial" w:cs="Arial"/>
          <w:lang w:eastAsia="cs-CZ"/>
        </w:rPr>
        <w:t xml:space="preserve">a pražském trhu </w:t>
      </w:r>
      <w:r w:rsidR="0052137F">
        <w:rPr>
          <w:rFonts w:ascii="Arial" w:hAnsi="Arial" w:cs="Arial"/>
          <w:lang w:eastAsia="cs-CZ"/>
        </w:rPr>
        <w:t xml:space="preserve">se </w:t>
      </w:r>
      <w:r w:rsidR="008A1E98">
        <w:rPr>
          <w:rFonts w:ascii="Arial" w:hAnsi="Arial" w:cs="Arial"/>
          <w:lang w:eastAsia="cs-CZ"/>
        </w:rPr>
        <w:t xml:space="preserve">tak firma </w:t>
      </w:r>
      <w:r w:rsidR="0052137F" w:rsidRPr="006D26FA">
        <w:rPr>
          <w:rFonts w:ascii="Arial" w:hAnsi="Arial" w:cs="Arial"/>
          <w:lang w:eastAsia="cs-CZ"/>
        </w:rPr>
        <w:t xml:space="preserve">podílí </w:t>
      </w:r>
      <w:r w:rsidR="008A1E98">
        <w:rPr>
          <w:rFonts w:ascii="Arial" w:hAnsi="Arial" w:cs="Arial"/>
          <w:lang w:eastAsia="cs-CZ"/>
        </w:rPr>
        <w:t xml:space="preserve">18,2 </w:t>
      </w:r>
      <w:r w:rsidR="0052137F" w:rsidRPr="006D26FA">
        <w:rPr>
          <w:rFonts w:ascii="Arial" w:hAnsi="Arial" w:cs="Arial"/>
          <w:lang w:eastAsia="cs-CZ"/>
        </w:rPr>
        <w:t>procent</w:t>
      </w:r>
      <w:r w:rsidR="0052137F">
        <w:rPr>
          <w:rFonts w:ascii="Arial" w:hAnsi="Arial" w:cs="Arial"/>
          <w:lang w:eastAsia="cs-CZ"/>
        </w:rPr>
        <w:t>a</w:t>
      </w:r>
      <w:r w:rsidR="0052137F" w:rsidRPr="006D26FA">
        <w:rPr>
          <w:rFonts w:ascii="Arial" w:hAnsi="Arial" w:cs="Arial"/>
          <w:lang w:eastAsia="cs-CZ"/>
        </w:rPr>
        <w:t xml:space="preserve">. </w:t>
      </w:r>
      <w:r w:rsidR="008A1E98">
        <w:rPr>
          <w:rFonts w:ascii="Arial" w:hAnsi="Arial" w:cs="Arial"/>
          <w:lang w:eastAsia="cs-CZ"/>
        </w:rPr>
        <w:t xml:space="preserve">Žádný z dalších developerů nepřekročil stovku prodaných bytů za čtvrtletí. </w:t>
      </w:r>
      <w:r w:rsidR="0052137F" w:rsidRPr="006D26FA">
        <w:rPr>
          <w:rFonts w:ascii="Arial" w:hAnsi="Arial" w:cs="Arial"/>
          <w:lang w:eastAsia="cs-CZ"/>
        </w:rPr>
        <w:t xml:space="preserve">Dvojkou na pražském trhu je </w:t>
      </w:r>
      <w:proofErr w:type="spellStart"/>
      <w:r w:rsidR="0052137F">
        <w:rPr>
          <w:rFonts w:ascii="Arial" w:hAnsi="Arial" w:cs="Arial"/>
          <w:lang w:eastAsia="cs-CZ"/>
        </w:rPr>
        <w:t>Finep</w:t>
      </w:r>
      <w:proofErr w:type="spellEnd"/>
      <w:r w:rsidR="0052137F">
        <w:rPr>
          <w:rFonts w:ascii="Arial" w:hAnsi="Arial" w:cs="Arial"/>
          <w:lang w:eastAsia="cs-CZ"/>
        </w:rPr>
        <w:t xml:space="preserve"> s </w:t>
      </w:r>
      <w:r w:rsidR="008A1E98">
        <w:rPr>
          <w:rFonts w:ascii="Arial" w:hAnsi="Arial" w:cs="Arial"/>
          <w:lang w:eastAsia="cs-CZ"/>
        </w:rPr>
        <w:t>92</w:t>
      </w:r>
      <w:r w:rsidR="0052137F">
        <w:rPr>
          <w:rFonts w:ascii="Arial" w:hAnsi="Arial" w:cs="Arial"/>
          <w:lang w:eastAsia="cs-CZ"/>
        </w:rPr>
        <w:t xml:space="preserve"> prodanými byty a se </w:t>
      </w:r>
      <w:r w:rsidR="00646E8E">
        <w:rPr>
          <w:rFonts w:ascii="Arial" w:hAnsi="Arial" w:cs="Arial"/>
          <w:lang w:eastAsia="cs-CZ"/>
        </w:rPr>
        <w:t xml:space="preserve">6,8 </w:t>
      </w:r>
      <w:r w:rsidR="0052137F">
        <w:rPr>
          <w:rFonts w:ascii="Arial" w:hAnsi="Arial" w:cs="Arial"/>
          <w:lang w:eastAsia="cs-CZ"/>
        </w:rPr>
        <w:t>procent</w:t>
      </w:r>
      <w:r w:rsidR="00A61F7C">
        <w:rPr>
          <w:rFonts w:ascii="Arial" w:hAnsi="Arial" w:cs="Arial"/>
          <w:lang w:eastAsia="cs-CZ"/>
        </w:rPr>
        <w:t>a</w:t>
      </w:r>
      <w:r w:rsidR="0052137F">
        <w:rPr>
          <w:rFonts w:ascii="Arial" w:hAnsi="Arial" w:cs="Arial"/>
          <w:lang w:eastAsia="cs-CZ"/>
        </w:rPr>
        <w:t xml:space="preserve"> trhu. </w:t>
      </w:r>
      <w:r w:rsidR="00CB56BD">
        <w:rPr>
          <w:rFonts w:ascii="Arial" w:hAnsi="Arial" w:cs="Arial"/>
          <w:lang w:eastAsia="cs-CZ"/>
        </w:rPr>
        <w:t>N</w:t>
      </w:r>
      <w:r w:rsidR="00CB56BD" w:rsidRPr="006D26FA">
        <w:rPr>
          <w:rFonts w:ascii="Arial" w:hAnsi="Arial" w:cs="Arial"/>
          <w:lang w:eastAsia="cs-CZ"/>
        </w:rPr>
        <w:t xml:space="preserve">ásleduje </w:t>
      </w:r>
      <w:r w:rsidR="00CB56BD">
        <w:rPr>
          <w:rFonts w:ascii="Arial" w:hAnsi="Arial" w:cs="Arial"/>
          <w:lang w:eastAsia="cs-CZ"/>
        </w:rPr>
        <w:t>Skanska Reality</w:t>
      </w:r>
      <w:r w:rsidR="00646E8E">
        <w:rPr>
          <w:rFonts w:ascii="Arial" w:hAnsi="Arial" w:cs="Arial"/>
          <w:lang w:eastAsia="cs-CZ"/>
        </w:rPr>
        <w:t xml:space="preserve"> s 90 prodanými byty a 6,7 procent</w:t>
      </w:r>
      <w:r w:rsidR="00A61F7C">
        <w:rPr>
          <w:rFonts w:ascii="Arial" w:hAnsi="Arial" w:cs="Arial"/>
          <w:lang w:eastAsia="cs-CZ"/>
        </w:rPr>
        <w:t>a</w:t>
      </w:r>
      <w:r w:rsidR="00646E8E">
        <w:rPr>
          <w:rFonts w:ascii="Arial" w:hAnsi="Arial" w:cs="Arial"/>
          <w:lang w:eastAsia="cs-CZ"/>
        </w:rPr>
        <w:t>.</w:t>
      </w:r>
      <w:r w:rsidR="00CB56BD" w:rsidRPr="006D26FA">
        <w:rPr>
          <w:rFonts w:ascii="Arial" w:hAnsi="Arial" w:cs="Arial"/>
          <w:lang w:eastAsia="cs-CZ"/>
        </w:rPr>
        <w:t xml:space="preserve"> </w:t>
      </w:r>
      <w:r w:rsidR="00CB56BD">
        <w:rPr>
          <w:rFonts w:ascii="Arial" w:hAnsi="Arial" w:cs="Arial"/>
          <w:lang w:eastAsia="cs-CZ"/>
        </w:rPr>
        <w:t>Celkem bylo v Praze z</w:t>
      </w:r>
      <w:r w:rsidR="00646E8E">
        <w:rPr>
          <w:rFonts w:ascii="Arial" w:hAnsi="Arial" w:cs="Arial"/>
          <w:lang w:eastAsia="cs-CZ"/>
        </w:rPr>
        <w:t>a čtvrtletí</w:t>
      </w:r>
      <w:r w:rsidR="007B2F43">
        <w:rPr>
          <w:rFonts w:ascii="Arial" w:hAnsi="Arial" w:cs="Arial"/>
          <w:lang w:eastAsia="cs-CZ"/>
        </w:rPr>
        <w:t xml:space="preserve"> 2016 </w:t>
      </w:r>
      <w:r w:rsidR="00CB56BD">
        <w:rPr>
          <w:rFonts w:ascii="Arial" w:hAnsi="Arial" w:cs="Arial"/>
          <w:lang w:eastAsia="cs-CZ"/>
        </w:rPr>
        <w:t xml:space="preserve">prodáno </w:t>
      </w:r>
      <w:r w:rsidR="00646E8E">
        <w:rPr>
          <w:rFonts w:ascii="Arial" w:hAnsi="Arial" w:cs="Arial"/>
          <w:lang w:eastAsia="cs-CZ"/>
        </w:rPr>
        <w:t>1350</w:t>
      </w:r>
      <w:r w:rsidR="00CB56BD">
        <w:rPr>
          <w:rFonts w:ascii="Arial" w:hAnsi="Arial" w:cs="Arial"/>
          <w:lang w:eastAsia="cs-CZ"/>
        </w:rPr>
        <w:t xml:space="preserve"> bytů s vydaným územním rozhodnutím. </w:t>
      </w:r>
    </w:p>
    <w:p w:rsidR="00CB56BD" w:rsidRDefault="00CB56BD" w:rsidP="00CB56BD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52137F" w:rsidRDefault="00E56FDE" w:rsidP="00A47361">
      <w:pPr>
        <w:spacing w:before="120" w:after="12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Nabídka developerů se ale za stejnou dobu ztenčila. Z 5</w:t>
      </w:r>
      <w:r w:rsidR="00646E8E">
        <w:rPr>
          <w:rFonts w:ascii="Arial" w:hAnsi="Arial" w:cs="Arial"/>
          <w:lang w:eastAsia="cs-CZ"/>
        </w:rPr>
        <w:t>2</w:t>
      </w:r>
      <w:r>
        <w:rPr>
          <w:rFonts w:ascii="Arial" w:hAnsi="Arial" w:cs="Arial"/>
          <w:lang w:eastAsia="cs-CZ"/>
        </w:rPr>
        <w:t xml:space="preserve">50 bytů na </w:t>
      </w:r>
      <w:r w:rsidR="00646E8E">
        <w:rPr>
          <w:rFonts w:ascii="Arial" w:hAnsi="Arial" w:cs="Arial"/>
          <w:lang w:eastAsia="cs-CZ"/>
        </w:rPr>
        <w:t xml:space="preserve">konci 1. čtvrtletí v loňském roce jich je na trhu nyní jen 3450. </w:t>
      </w:r>
      <w:r>
        <w:rPr>
          <w:rFonts w:ascii="Arial" w:hAnsi="Arial" w:cs="Arial"/>
          <w:lang w:eastAsia="cs-CZ"/>
        </w:rPr>
        <w:t>Nedostatečná nabídka ved</w:t>
      </w:r>
      <w:r w:rsidR="00646E8E">
        <w:rPr>
          <w:rFonts w:ascii="Arial" w:hAnsi="Arial" w:cs="Arial"/>
          <w:lang w:eastAsia="cs-CZ"/>
        </w:rPr>
        <w:t>e</w:t>
      </w:r>
      <w:r>
        <w:rPr>
          <w:rFonts w:ascii="Arial" w:hAnsi="Arial" w:cs="Arial"/>
          <w:lang w:eastAsia="cs-CZ"/>
        </w:rPr>
        <w:t xml:space="preserve"> k razantnímu zvýšení cen, v průběhu loňského roku o 19,5 procenta</w:t>
      </w:r>
      <w:r w:rsidR="00B53D37">
        <w:rPr>
          <w:rFonts w:ascii="Arial" w:hAnsi="Arial" w:cs="Arial"/>
          <w:lang w:eastAsia="cs-CZ"/>
        </w:rPr>
        <w:t xml:space="preserve">. </w:t>
      </w:r>
      <w:r w:rsidR="00AB2687">
        <w:rPr>
          <w:rFonts w:ascii="Arial" w:hAnsi="Arial" w:cs="Arial"/>
          <w:lang w:eastAsia="cs-CZ"/>
        </w:rPr>
        <w:t xml:space="preserve">V </w:t>
      </w:r>
      <w:r w:rsidR="00646E8E">
        <w:rPr>
          <w:rFonts w:ascii="Arial" w:hAnsi="Arial" w:cs="Arial"/>
          <w:lang w:eastAsia="cs-CZ"/>
        </w:rPr>
        <w:t xml:space="preserve">prvním čtvrtletí </w:t>
      </w:r>
      <w:r w:rsidR="002428E1">
        <w:rPr>
          <w:rFonts w:ascii="Arial" w:hAnsi="Arial" w:cs="Arial"/>
          <w:lang w:eastAsia="cs-CZ"/>
        </w:rPr>
        <w:t xml:space="preserve">ceny dále </w:t>
      </w:r>
      <w:proofErr w:type="gramStart"/>
      <w:r w:rsidR="002428E1">
        <w:rPr>
          <w:rFonts w:ascii="Arial" w:hAnsi="Arial" w:cs="Arial"/>
          <w:lang w:eastAsia="cs-CZ"/>
        </w:rPr>
        <w:t>rostly</w:t>
      </w:r>
      <w:proofErr w:type="gramEnd"/>
      <w:r w:rsidR="00B53D37">
        <w:rPr>
          <w:rFonts w:ascii="Arial" w:hAnsi="Arial" w:cs="Arial"/>
          <w:lang w:eastAsia="cs-CZ"/>
        </w:rPr>
        <w:t xml:space="preserve"> a </w:t>
      </w:r>
      <w:r w:rsidR="00AB2687">
        <w:rPr>
          <w:rFonts w:ascii="Arial" w:hAnsi="Arial" w:cs="Arial"/>
          <w:lang w:eastAsia="cs-CZ"/>
        </w:rPr>
        <w:t xml:space="preserve">navíc </w:t>
      </w:r>
      <w:r w:rsidR="00B53D37">
        <w:rPr>
          <w:rFonts w:ascii="Arial" w:hAnsi="Arial" w:cs="Arial"/>
          <w:lang w:eastAsia="cs-CZ"/>
        </w:rPr>
        <w:t>n</w:t>
      </w:r>
      <w:r w:rsidR="002428E1">
        <w:rPr>
          <w:rFonts w:ascii="Arial" w:hAnsi="Arial" w:cs="Arial"/>
          <w:lang w:eastAsia="cs-CZ"/>
        </w:rPr>
        <w:t>aprostá v</w:t>
      </w:r>
      <w:r w:rsidR="00646E8E">
        <w:rPr>
          <w:rFonts w:ascii="Arial" w:hAnsi="Arial" w:cs="Arial"/>
          <w:lang w:eastAsia="cs-CZ"/>
        </w:rPr>
        <w:t>ětšina</w:t>
      </w:r>
      <w:r>
        <w:rPr>
          <w:rFonts w:ascii="Arial" w:hAnsi="Arial" w:cs="Arial"/>
          <w:lang w:eastAsia="cs-CZ"/>
        </w:rPr>
        <w:t xml:space="preserve"> bytů v nabídce </w:t>
      </w:r>
      <w:r w:rsidR="00B53D37">
        <w:rPr>
          <w:rFonts w:ascii="Arial" w:hAnsi="Arial" w:cs="Arial"/>
          <w:lang w:eastAsia="cs-CZ"/>
        </w:rPr>
        <w:t xml:space="preserve">tak </w:t>
      </w:r>
      <w:r>
        <w:rPr>
          <w:rFonts w:ascii="Arial" w:hAnsi="Arial" w:cs="Arial"/>
          <w:lang w:eastAsia="cs-CZ"/>
        </w:rPr>
        <w:t>spad</w:t>
      </w:r>
      <w:r w:rsidR="00646E8E">
        <w:rPr>
          <w:rFonts w:ascii="Arial" w:hAnsi="Arial" w:cs="Arial"/>
          <w:lang w:eastAsia="cs-CZ"/>
        </w:rPr>
        <w:t>á</w:t>
      </w:r>
      <w:r>
        <w:rPr>
          <w:rFonts w:ascii="Arial" w:hAnsi="Arial" w:cs="Arial"/>
          <w:lang w:eastAsia="cs-CZ"/>
        </w:rPr>
        <w:t xml:space="preserve"> do vyšší hladiny s cenami nad 60.000 Kč za m2. </w:t>
      </w:r>
      <w:r w:rsidR="0052137F">
        <w:rPr>
          <w:rFonts w:ascii="Arial" w:hAnsi="Arial" w:cs="Arial"/>
          <w:lang w:eastAsia="cs-CZ"/>
        </w:rPr>
        <w:t xml:space="preserve">Pro střední třídu </w:t>
      </w:r>
      <w:r w:rsidR="00137D21">
        <w:rPr>
          <w:rFonts w:ascii="Arial" w:hAnsi="Arial" w:cs="Arial"/>
          <w:lang w:eastAsia="cs-CZ"/>
        </w:rPr>
        <w:t xml:space="preserve">je </w:t>
      </w:r>
      <w:r w:rsidR="00B53D37">
        <w:rPr>
          <w:rFonts w:ascii="Arial" w:hAnsi="Arial" w:cs="Arial"/>
          <w:lang w:eastAsia="cs-CZ"/>
        </w:rPr>
        <w:t xml:space="preserve">proto </w:t>
      </w:r>
      <w:r w:rsidR="0052137F">
        <w:rPr>
          <w:rFonts w:ascii="Arial" w:hAnsi="Arial" w:cs="Arial"/>
          <w:lang w:eastAsia="cs-CZ"/>
        </w:rPr>
        <w:t>r</w:t>
      </w:r>
      <w:r w:rsidR="00137D21">
        <w:rPr>
          <w:rFonts w:ascii="Arial" w:hAnsi="Arial" w:cs="Arial"/>
          <w:lang w:eastAsia="cs-CZ"/>
        </w:rPr>
        <w:t>eálně cenově dostupn</w:t>
      </w:r>
      <w:r w:rsidR="00646E8E">
        <w:rPr>
          <w:rFonts w:ascii="Arial" w:hAnsi="Arial" w:cs="Arial"/>
          <w:lang w:eastAsia="cs-CZ"/>
        </w:rPr>
        <w:t>ých</w:t>
      </w:r>
      <w:r w:rsidR="00137D21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jen asi </w:t>
      </w:r>
      <w:r w:rsidR="00646E8E">
        <w:rPr>
          <w:rFonts w:ascii="Arial" w:hAnsi="Arial" w:cs="Arial"/>
          <w:lang w:eastAsia="cs-CZ"/>
        </w:rPr>
        <w:t>700</w:t>
      </w:r>
      <w:r>
        <w:rPr>
          <w:rFonts w:ascii="Arial" w:hAnsi="Arial" w:cs="Arial"/>
          <w:lang w:eastAsia="cs-CZ"/>
        </w:rPr>
        <w:t xml:space="preserve"> bytů.</w:t>
      </w:r>
      <w:r w:rsidR="0052137F">
        <w:rPr>
          <w:rFonts w:ascii="Arial" w:hAnsi="Arial" w:cs="Arial"/>
          <w:lang w:eastAsia="cs-CZ"/>
        </w:rPr>
        <w:t xml:space="preserve"> </w:t>
      </w:r>
      <w:r w:rsidR="00AB2687">
        <w:rPr>
          <w:rFonts w:ascii="Arial" w:hAnsi="Arial" w:cs="Arial"/>
          <w:lang w:eastAsia="cs-CZ"/>
        </w:rPr>
        <w:t>Průměrná nabídková cena nového pražského bytu je nyní již na úrovni 82.000 Kč za m2.</w:t>
      </w:r>
    </w:p>
    <w:p w:rsidR="0052137F" w:rsidRDefault="0052137F" w:rsidP="00A47361">
      <w:pPr>
        <w:spacing w:before="120" w:after="120"/>
        <w:contextualSpacing/>
        <w:jc w:val="both"/>
        <w:rPr>
          <w:rFonts w:ascii="Arial" w:hAnsi="Arial" w:cs="Arial"/>
          <w:lang w:eastAsia="cs-CZ"/>
        </w:rPr>
      </w:pPr>
    </w:p>
    <w:p w:rsidR="00C67C8C" w:rsidRDefault="00774E57" w:rsidP="00A47361">
      <w:pPr>
        <w:spacing w:before="120" w:after="12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Není přitom vinou developerů, že je nabídka tak omezená. Podle analýzy připravovaných projektů, kterou provedla společnost </w:t>
      </w: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Group, </w:t>
      </w:r>
      <w:r w:rsidR="0052137F">
        <w:rPr>
          <w:rFonts w:ascii="Arial" w:hAnsi="Arial" w:cs="Arial"/>
          <w:lang w:eastAsia="cs-CZ"/>
        </w:rPr>
        <w:t xml:space="preserve">mají pražští developeři v přípravě celkem </w:t>
      </w:r>
      <w:r w:rsidR="00B53D37">
        <w:rPr>
          <w:rFonts w:ascii="Arial" w:hAnsi="Arial" w:cs="Arial"/>
          <w:lang w:eastAsia="cs-CZ"/>
        </w:rPr>
        <w:t>přes</w:t>
      </w:r>
      <w:r w:rsidR="0052137F">
        <w:rPr>
          <w:rFonts w:ascii="Arial" w:hAnsi="Arial" w:cs="Arial"/>
          <w:lang w:eastAsia="cs-CZ"/>
        </w:rPr>
        <w:t xml:space="preserve"> 70 tisíc nových bytů. </w:t>
      </w:r>
      <w:r w:rsidR="0052137F" w:rsidRPr="0052137F">
        <w:rPr>
          <w:rFonts w:ascii="Arial" w:hAnsi="Arial" w:cs="Arial"/>
          <w:lang w:eastAsia="cs-CZ"/>
        </w:rPr>
        <w:t>Jen zhruba 23.500 se jich ale může začít stavět zhruba do pěti let.</w:t>
      </w:r>
      <w:r w:rsidR="0052137F">
        <w:rPr>
          <w:rFonts w:ascii="Arial" w:hAnsi="Arial" w:cs="Arial"/>
          <w:lang w:eastAsia="cs-CZ"/>
        </w:rPr>
        <w:t xml:space="preserve"> Problémem je velmi dlouhý schvalovací proces, který nás podle údajů Světové banky řadí na </w:t>
      </w:r>
      <w:r w:rsidR="00B53D37">
        <w:rPr>
          <w:rFonts w:ascii="Arial" w:hAnsi="Arial" w:cs="Arial"/>
          <w:lang w:eastAsia="cs-CZ"/>
        </w:rPr>
        <w:t xml:space="preserve">nelichotivé </w:t>
      </w:r>
      <w:r w:rsidR="0052137F">
        <w:rPr>
          <w:rFonts w:ascii="Arial" w:hAnsi="Arial" w:cs="Arial"/>
          <w:lang w:eastAsia="cs-CZ"/>
        </w:rPr>
        <w:t>130. místo ze 190 zemí.</w:t>
      </w:r>
    </w:p>
    <w:p w:rsidR="00E56FDE" w:rsidRDefault="00E56FDE" w:rsidP="00A47361">
      <w:pPr>
        <w:spacing w:before="120" w:after="120"/>
        <w:contextualSpacing/>
        <w:jc w:val="both"/>
        <w:rPr>
          <w:rFonts w:ascii="Arial" w:hAnsi="Arial" w:cs="Arial"/>
          <w:lang w:eastAsia="cs-CZ"/>
        </w:rPr>
      </w:pPr>
    </w:p>
    <w:p w:rsidR="00E56FDE" w:rsidRDefault="00E56FDE" w:rsidP="00A47361">
      <w:pPr>
        <w:spacing w:before="120" w:after="120"/>
        <w:contextualSpacing/>
        <w:jc w:val="both"/>
        <w:rPr>
          <w:rFonts w:ascii="Arial" w:hAnsi="Arial" w:cs="Arial"/>
          <w:lang w:eastAsia="cs-CZ"/>
        </w:rPr>
      </w:pPr>
    </w:p>
    <w:p w:rsidR="00E56FDE" w:rsidRDefault="00E56FDE" w:rsidP="00A47361">
      <w:pPr>
        <w:spacing w:before="120" w:after="120"/>
        <w:contextualSpacing/>
        <w:jc w:val="both"/>
        <w:rPr>
          <w:rFonts w:ascii="Arial" w:hAnsi="Arial" w:cs="Arial"/>
          <w:lang w:eastAsia="cs-CZ"/>
        </w:rPr>
      </w:pPr>
    </w:p>
    <w:p w:rsidR="00FE0C65" w:rsidRDefault="00FE0C65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A45E8F" w:rsidRDefault="00A45E8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A45E8F" w:rsidRDefault="00A45E8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A45E8F" w:rsidRDefault="00A45E8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A45E8F" w:rsidRDefault="00A45E8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7B1C7A" w:rsidRDefault="007B1C7A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8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9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>), který firmu zařadil mezi desítku největších rezidenčních developerů ve střední a východní Evropě. Za 2</w:t>
      </w:r>
      <w:r w:rsidR="00FE580C">
        <w:rPr>
          <w:rFonts w:ascii="Arial" w:hAnsi="Arial" w:cs="Arial"/>
          <w:sz w:val="16"/>
          <w:szCs w:val="16"/>
          <w:lang w:eastAsia="cs-CZ"/>
        </w:rPr>
        <w:t>3</w:t>
      </w:r>
      <w:r>
        <w:rPr>
          <w:rFonts w:ascii="Arial" w:hAnsi="Arial" w:cs="Arial"/>
          <w:sz w:val="16"/>
          <w:szCs w:val="16"/>
          <w:lang w:eastAsia="cs-CZ"/>
        </w:rPr>
        <w:t xml:space="preserve"> let svého působení firma dokončila již více než 1</w:t>
      </w:r>
      <w:r w:rsidR="005E05FE">
        <w:rPr>
          <w:rFonts w:ascii="Arial" w:hAnsi="Arial" w:cs="Arial"/>
          <w:sz w:val="16"/>
          <w:szCs w:val="16"/>
          <w:lang w:eastAsia="cs-CZ"/>
        </w:rPr>
        <w:t>51</w:t>
      </w:r>
      <w:r>
        <w:rPr>
          <w:rFonts w:ascii="Arial" w:hAnsi="Arial" w:cs="Arial"/>
          <w:sz w:val="16"/>
          <w:szCs w:val="16"/>
          <w:lang w:eastAsia="cs-CZ"/>
        </w:rPr>
        <w:t xml:space="preserve"> rezidenčních projektů a prodala více než 1</w:t>
      </w:r>
      <w:r w:rsidR="005E05FE">
        <w:rPr>
          <w:rFonts w:ascii="Arial" w:hAnsi="Arial" w:cs="Arial"/>
          <w:sz w:val="16"/>
          <w:szCs w:val="16"/>
          <w:lang w:eastAsia="cs-CZ"/>
        </w:rPr>
        <w:t>3</w:t>
      </w:r>
      <w:r>
        <w:rPr>
          <w:rFonts w:ascii="Arial" w:hAnsi="Arial" w:cs="Arial"/>
          <w:sz w:val="16"/>
          <w:szCs w:val="16"/>
          <w:lang w:eastAsia="cs-CZ"/>
        </w:rPr>
        <w:t xml:space="preserve">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>7</w:t>
      </w:r>
      <w:r w:rsidR="00697086">
        <w:rPr>
          <w:rFonts w:ascii="Arial" w:hAnsi="Arial" w:cs="Arial"/>
          <w:sz w:val="16"/>
          <w:szCs w:val="16"/>
          <w:lang w:eastAsia="cs-CZ"/>
        </w:rPr>
        <w:t>5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53FF6" w:rsidRDefault="00A17A92" w:rsidP="001E56BE">
      <w:pPr>
        <w:spacing w:after="0" w:line="240" w:lineRule="auto"/>
        <w:jc w:val="both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</w:t>
      </w:r>
      <w:r w:rsidR="00E3524D">
        <w:rPr>
          <w:rFonts w:ascii="Arial" w:hAnsi="Arial" w:cs="Arial"/>
          <w:sz w:val="16"/>
          <w:szCs w:val="16"/>
        </w:rPr>
        <w:t>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</w:t>
      </w:r>
      <w:r w:rsidR="00145D58">
        <w:rPr>
          <w:rFonts w:ascii="Arial" w:hAnsi="Arial" w:cs="Arial"/>
          <w:sz w:val="16"/>
          <w:szCs w:val="16"/>
        </w:rPr>
        <w:t>deseti</w:t>
      </w:r>
      <w:r w:rsidR="00E3524D">
        <w:rPr>
          <w:rFonts w:ascii="Arial" w:hAnsi="Arial" w:cs="Arial"/>
          <w:sz w:val="16"/>
          <w:szCs w:val="16"/>
        </w:rPr>
        <w:t xml:space="preserve"> let. </w:t>
      </w:r>
      <w:proofErr w:type="spellStart"/>
      <w:r w:rsidR="00E3524D">
        <w:rPr>
          <w:rFonts w:ascii="Arial" w:hAnsi="Arial" w:cs="Arial"/>
          <w:sz w:val="16"/>
          <w:szCs w:val="16"/>
        </w:rPr>
        <w:t>Central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nadále intenzivně hledá a nakupuje další pozemky a brownfieldy v Praze pro výstavbu nových bytů a domů.   </w:t>
      </w:r>
    </w:p>
    <w:sectPr w:rsidR="00053FF6" w:rsidSect="00EB64B6">
      <w:headerReference w:type="default" r:id="rId12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8E2" w:rsidRDefault="003518E2" w:rsidP="00655B14">
      <w:pPr>
        <w:spacing w:after="0" w:line="240" w:lineRule="auto"/>
      </w:pPr>
      <w:r>
        <w:separator/>
      </w:r>
    </w:p>
  </w:endnote>
  <w:end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8E2" w:rsidRDefault="003518E2" w:rsidP="00655B14">
      <w:pPr>
        <w:spacing w:after="0" w:line="240" w:lineRule="auto"/>
      </w:pPr>
      <w:r>
        <w:separator/>
      </w:r>
    </w:p>
  </w:footnote>
  <w:foot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4E8FE32D" wp14:editId="010B1E7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E061A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229CDBBB" wp14:editId="76A64B41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BE1539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30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EE071F">
      <w:rPr>
        <w:color w:val="17365D"/>
        <w:sz w:val="30"/>
        <w:szCs w:val="30"/>
      </w:rPr>
      <w:t>5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7B2F43">
      <w:rPr>
        <w:color w:val="17365D"/>
        <w:sz w:val="30"/>
        <w:szCs w:val="30"/>
      </w:rPr>
      <w:t>7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742F"/>
    <w:multiLevelType w:val="hybridMultilevel"/>
    <w:tmpl w:val="6180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E19F6"/>
    <w:multiLevelType w:val="hybridMultilevel"/>
    <w:tmpl w:val="D20EE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E418E"/>
    <w:multiLevelType w:val="hybridMultilevel"/>
    <w:tmpl w:val="46CA3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56"/>
    <w:rsid w:val="0000345B"/>
    <w:rsid w:val="0000781F"/>
    <w:rsid w:val="0002312D"/>
    <w:rsid w:val="00024764"/>
    <w:rsid w:val="000266CE"/>
    <w:rsid w:val="000267C4"/>
    <w:rsid w:val="0002687F"/>
    <w:rsid w:val="000310FA"/>
    <w:rsid w:val="0003162C"/>
    <w:rsid w:val="000336D2"/>
    <w:rsid w:val="00034F4A"/>
    <w:rsid w:val="00036B56"/>
    <w:rsid w:val="00036D72"/>
    <w:rsid w:val="00042A08"/>
    <w:rsid w:val="000449DD"/>
    <w:rsid w:val="000464E0"/>
    <w:rsid w:val="00047F3F"/>
    <w:rsid w:val="00051163"/>
    <w:rsid w:val="000512A9"/>
    <w:rsid w:val="00053FF6"/>
    <w:rsid w:val="00057673"/>
    <w:rsid w:val="000702CA"/>
    <w:rsid w:val="0007119F"/>
    <w:rsid w:val="0007250E"/>
    <w:rsid w:val="00075196"/>
    <w:rsid w:val="00075EC3"/>
    <w:rsid w:val="000778E1"/>
    <w:rsid w:val="00083452"/>
    <w:rsid w:val="00083BA8"/>
    <w:rsid w:val="0008492F"/>
    <w:rsid w:val="0008540C"/>
    <w:rsid w:val="000854B7"/>
    <w:rsid w:val="00085F81"/>
    <w:rsid w:val="000865A5"/>
    <w:rsid w:val="00087826"/>
    <w:rsid w:val="00091E8A"/>
    <w:rsid w:val="000A0381"/>
    <w:rsid w:val="000A2C12"/>
    <w:rsid w:val="000A555C"/>
    <w:rsid w:val="000B1F3B"/>
    <w:rsid w:val="000B259C"/>
    <w:rsid w:val="000C093A"/>
    <w:rsid w:val="000C111A"/>
    <w:rsid w:val="000C1853"/>
    <w:rsid w:val="000C392E"/>
    <w:rsid w:val="000C61A9"/>
    <w:rsid w:val="000D0B58"/>
    <w:rsid w:val="000D2CE8"/>
    <w:rsid w:val="000D3DC9"/>
    <w:rsid w:val="000D67EC"/>
    <w:rsid w:val="000D6F5E"/>
    <w:rsid w:val="000D7AAD"/>
    <w:rsid w:val="000F76D9"/>
    <w:rsid w:val="000F7DD9"/>
    <w:rsid w:val="0010798A"/>
    <w:rsid w:val="0011263C"/>
    <w:rsid w:val="0012325C"/>
    <w:rsid w:val="001254FE"/>
    <w:rsid w:val="00126B39"/>
    <w:rsid w:val="00134324"/>
    <w:rsid w:val="00136B59"/>
    <w:rsid w:val="00136DD9"/>
    <w:rsid w:val="001374C1"/>
    <w:rsid w:val="00137D21"/>
    <w:rsid w:val="0014189D"/>
    <w:rsid w:val="00145D58"/>
    <w:rsid w:val="00147D32"/>
    <w:rsid w:val="0015386E"/>
    <w:rsid w:val="00154E05"/>
    <w:rsid w:val="00155FBC"/>
    <w:rsid w:val="00160996"/>
    <w:rsid w:val="00167091"/>
    <w:rsid w:val="00167393"/>
    <w:rsid w:val="00167EA3"/>
    <w:rsid w:val="001709D1"/>
    <w:rsid w:val="00175BC6"/>
    <w:rsid w:val="00176DB2"/>
    <w:rsid w:val="00180DF0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4934"/>
    <w:rsid w:val="001A60F5"/>
    <w:rsid w:val="001A6619"/>
    <w:rsid w:val="001B6C34"/>
    <w:rsid w:val="001B7101"/>
    <w:rsid w:val="001B7358"/>
    <w:rsid w:val="001C66CF"/>
    <w:rsid w:val="001C67C0"/>
    <w:rsid w:val="001C6D66"/>
    <w:rsid w:val="001D35BC"/>
    <w:rsid w:val="001D41E4"/>
    <w:rsid w:val="001D7759"/>
    <w:rsid w:val="001E14EF"/>
    <w:rsid w:val="001E1516"/>
    <w:rsid w:val="001E15A7"/>
    <w:rsid w:val="001E1A62"/>
    <w:rsid w:val="001E447B"/>
    <w:rsid w:val="001E56BE"/>
    <w:rsid w:val="001E5C33"/>
    <w:rsid w:val="001F0C11"/>
    <w:rsid w:val="001F3B75"/>
    <w:rsid w:val="001F5AAF"/>
    <w:rsid w:val="001F5F25"/>
    <w:rsid w:val="001F75D0"/>
    <w:rsid w:val="001F7B64"/>
    <w:rsid w:val="002024C8"/>
    <w:rsid w:val="002039FC"/>
    <w:rsid w:val="00205CE6"/>
    <w:rsid w:val="002112DE"/>
    <w:rsid w:val="0021271C"/>
    <w:rsid w:val="00214B9A"/>
    <w:rsid w:val="0022029B"/>
    <w:rsid w:val="002321C8"/>
    <w:rsid w:val="00234852"/>
    <w:rsid w:val="00237A96"/>
    <w:rsid w:val="002428E1"/>
    <w:rsid w:val="002442D9"/>
    <w:rsid w:val="00244FB9"/>
    <w:rsid w:val="00253B9A"/>
    <w:rsid w:val="002543C3"/>
    <w:rsid w:val="00255584"/>
    <w:rsid w:val="00261752"/>
    <w:rsid w:val="00265E94"/>
    <w:rsid w:val="00272534"/>
    <w:rsid w:val="002769EC"/>
    <w:rsid w:val="002802F5"/>
    <w:rsid w:val="00282554"/>
    <w:rsid w:val="00283463"/>
    <w:rsid w:val="0028544B"/>
    <w:rsid w:val="002910B2"/>
    <w:rsid w:val="002A09C6"/>
    <w:rsid w:val="002A1D9E"/>
    <w:rsid w:val="002A355F"/>
    <w:rsid w:val="002A5494"/>
    <w:rsid w:val="002B22EC"/>
    <w:rsid w:val="002B2E77"/>
    <w:rsid w:val="002B34A2"/>
    <w:rsid w:val="002C100F"/>
    <w:rsid w:val="002C4DCA"/>
    <w:rsid w:val="002C53C3"/>
    <w:rsid w:val="002C5688"/>
    <w:rsid w:val="002D082D"/>
    <w:rsid w:val="002D2EE1"/>
    <w:rsid w:val="002D61ED"/>
    <w:rsid w:val="002E04AA"/>
    <w:rsid w:val="002E128D"/>
    <w:rsid w:val="002E69D8"/>
    <w:rsid w:val="002E7D8B"/>
    <w:rsid w:val="002F02F6"/>
    <w:rsid w:val="002F3BBF"/>
    <w:rsid w:val="002F3C78"/>
    <w:rsid w:val="002F696E"/>
    <w:rsid w:val="00310056"/>
    <w:rsid w:val="003115D8"/>
    <w:rsid w:val="0031568A"/>
    <w:rsid w:val="00316A88"/>
    <w:rsid w:val="0031761C"/>
    <w:rsid w:val="00320B75"/>
    <w:rsid w:val="0032321E"/>
    <w:rsid w:val="00333809"/>
    <w:rsid w:val="003366AE"/>
    <w:rsid w:val="0034284D"/>
    <w:rsid w:val="00343FF8"/>
    <w:rsid w:val="00344915"/>
    <w:rsid w:val="003518E2"/>
    <w:rsid w:val="00354906"/>
    <w:rsid w:val="00356DEF"/>
    <w:rsid w:val="003629D5"/>
    <w:rsid w:val="00364E18"/>
    <w:rsid w:val="0036643F"/>
    <w:rsid w:val="0036769C"/>
    <w:rsid w:val="003722A2"/>
    <w:rsid w:val="00372899"/>
    <w:rsid w:val="00377C0F"/>
    <w:rsid w:val="00380E96"/>
    <w:rsid w:val="0038164F"/>
    <w:rsid w:val="00390D9B"/>
    <w:rsid w:val="00393588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E131F"/>
    <w:rsid w:val="003E1A52"/>
    <w:rsid w:val="003E25B5"/>
    <w:rsid w:val="003E3DDE"/>
    <w:rsid w:val="003E3EEE"/>
    <w:rsid w:val="003E4FDA"/>
    <w:rsid w:val="003E5DEB"/>
    <w:rsid w:val="003E6D06"/>
    <w:rsid w:val="003E7335"/>
    <w:rsid w:val="003E75A1"/>
    <w:rsid w:val="003F1BE3"/>
    <w:rsid w:val="003F4A3F"/>
    <w:rsid w:val="00404882"/>
    <w:rsid w:val="00404AE7"/>
    <w:rsid w:val="004065D6"/>
    <w:rsid w:val="00407C3A"/>
    <w:rsid w:val="00407D1B"/>
    <w:rsid w:val="0041092C"/>
    <w:rsid w:val="00411ECF"/>
    <w:rsid w:val="00412DAD"/>
    <w:rsid w:val="00415AF5"/>
    <w:rsid w:val="00416096"/>
    <w:rsid w:val="0042143D"/>
    <w:rsid w:val="00423B06"/>
    <w:rsid w:val="00425B70"/>
    <w:rsid w:val="004267CA"/>
    <w:rsid w:val="004269C0"/>
    <w:rsid w:val="0043290F"/>
    <w:rsid w:val="0045189F"/>
    <w:rsid w:val="00457B53"/>
    <w:rsid w:val="00463C79"/>
    <w:rsid w:val="004669A9"/>
    <w:rsid w:val="00470BAB"/>
    <w:rsid w:val="00474F5D"/>
    <w:rsid w:val="004755AC"/>
    <w:rsid w:val="00483217"/>
    <w:rsid w:val="00487B16"/>
    <w:rsid w:val="00490A3A"/>
    <w:rsid w:val="00490FEF"/>
    <w:rsid w:val="00491B22"/>
    <w:rsid w:val="00494878"/>
    <w:rsid w:val="004952C9"/>
    <w:rsid w:val="0049638C"/>
    <w:rsid w:val="00496B6A"/>
    <w:rsid w:val="004A1CF9"/>
    <w:rsid w:val="004B31B4"/>
    <w:rsid w:val="004B7B91"/>
    <w:rsid w:val="004C0A81"/>
    <w:rsid w:val="004C68D5"/>
    <w:rsid w:val="004D14BF"/>
    <w:rsid w:val="004D230C"/>
    <w:rsid w:val="004D3EFE"/>
    <w:rsid w:val="004D6F71"/>
    <w:rsid w:val="004D718C"/>
    <w:rsid w:val="004E48FD"/>
    <w:rsid w:val="004E53EE"/>
    <w:rsid w:val="004F1830"/>
    <w:rsid w:val="004F4589"/>
    <w:rsid w:val="0050068F"/>
    <w:rsid w:val="005063E2"/>
    <w:rsid w:val="00506D83"/>
    <w:rsid w:val="00506E60"/>
    <w:rsid w:val="005071FB"/>
    <w:rsid w:val="00516528"/>
    <w:rsid w:val="005207A4"/>
    <w:rsid w:val="0052137F"/>
    <w:rsid w:val="005226E6"/>
    <w:rsid w:val="00522A3F"/>
    <w:rsid w:val="00525388"/>
    <w:rsid w:val="00525770"/>
    <w:rsid w:val="00526B27"/>
    <w:rsid w:val="00530881"/>
    <w:rsid w:val="00532D97"/>
    <w:rsid w:val="00534219"/>
    <w:rsid w:val="00536342"/>
    <w:rsid w:val="005405D8"/>
    <w:rsid w:val="00541CA7"/>
    <w:rsid w:val="00542901"/>
    <w:rsid w:val="00542996"/>
    <w:rsid w:val="00543480"/>
    <w:rsid w:val="00543E13"/>
    <w:rsid w:val="005477C0"/>
    <w:rsid w:val="00560668"/>
    <w:rsid w:val="00563B73"/>
    <w:rsid w:val="00564E82"/>
    <w:rsid w:val="00567B05"/>
    <w:rsid w:val="00567FCC"/>
    <w:rsid w:val="00573A57"/>
    <w:rsid w:val="00574AB5"/>
    <w:rsid w:val="00575350"/>
    <w:rsid w:val="00575AC0"/>
    <w:rsid w:val="00575DE9"/>
    <w:rsid w:val="00582D61"/>
    <w:rsid w:val="005A0735"/>
    <w:rsid w:val="005A1046"/>
    <w:rsid w:val="005A33B1"/>
    <w:rsid w:val="005A41FB"/>
    <w:rsid w:val="005A6A33"/>
    <w:rsid w:val="005B5C23"/>
    <w:rsid w:val="005B681C"/>
    <w:rsid w:val="005C4CF0"/>
    <w:rsid w:val="005C58EE"/>
    <w:rsid w:val="005C710A"/>
    <w:rsid w:val="005D029C"/>
    <w:rsid w:val="005D7987"/>
    <w:rsid w:val="005E0538"/>
    <w:rsid w:val="005E05FE"/>
    <w:rsid w:val="005E2124"/>
    <w:rsid w:val="005F5002"/>
    <w:rsid w:val="005F730C"/>
    <w:rsid w:val="00605851"/>
    <w:rsid w:val="00605F5F"/>
    <w:rsid w:val="006113F4"/>
    <w:rsid w:val="0061229B"/>
    <w:rsid w:val="00612999"/>
    <w:rsid w:val="00612D3F"/>
    <w:rsid w:val="00612F63"/>
    <w:rsid w:val="00613CA5"/>
    <w:rsid w:val="00613DF6"/>
    <w:rsid w:val="00613E4C"/>
    <w:rsid w:val="006148ED"/>
    <w:rsid w:val="00615AC2"/>
    <w:rsid w:val="00617D67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429C"/>
    <w:rsid w:val="006362FC"/>
    <w:rsid w:val="00646E8E"/>
    <w:rsid w:val="00646F68"/>
    <w:rsid w:val="006474BF"/>
    <w:rsid w:val="0065030F"/>
    <w:rsid w:val="00650B15"/>
    <w:rsid w:val="00651898"/>
    <w:rsid w:val="00651991"/>
    <w:rsid w:val="00654307"/>
    <w:rsid w:val="00654F88"/>
    <w:rsid w:val="00655B14"/>
    <w:rsid w:val="00661906"/>
    <w:rsid w:val="00663DF4"/>
    <w:rsid w:val="006650D5"/>
    <w:rsid w:val="00670D2D"/>
    <w:rsid w:val="0067733C"/>
    <w:rsid w:val="006832C4"/>
    <w:rsid w:val="00686D43"/>
    <w:rsid w:val="006870C0"/>
    <w:rsid w:val="006927C2"/>
    <w:rsid w:val="006934FA"/>
    <w:rsid w:val="00693888"/>
    <w:rsid w:val="00697086"/>
    <w:rsid w:val="006A0377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252D"/>
    <w:rsid w:val="006D26FA"/>
    <w:rsid w:val="006D3EB8"/>
    <w:rsid w:val="006D42D0"/>
    <w:rsid w:val="006D4ABB"/>
    <w:rsid w:val="006E3D61"/>
    <w:rsid w:val="006E548E"/>
    <w:rsid w:val="006E6B4E"/>
    <w:rsid w:val="006E7A97"/>
    <w:rsid w:val="006F1257"/>
    <w:rsid w:val="00700072"/>
    <w:rsid w:val="007012BA"/>
    <w:rsid w:val="00702863"/>
    <w:rsid w:val="00705B5F"/>
    <w:rsid w:val="00705BC3"/>
    <w:rsid w:val="00705DA4"/>
    <w:rsid w:val="00706799"/>
    <w:rsid w:val="00706CFF"/>
    <w:rsid w:val="00707522"/>
    <w:rsid w:val="00710A01"/>
    <w:rsid w:val="00712980"/>
    <w:rsid w:val="00713ABB"/>
    <w:rsid w:val="00713F01"/>
    <w:rsid w:val="007143C3"/>
    <w:rsid w:val="0071453E"/>
    <w:rsid w:val="00716A16"/>
    <w:rsid w:val="007173A6"/>
    <w:rsid w:val="007235A6"/>
    <w:rsid w:val="0072485F"/>
    <w:rsid w:val="0073295D"/>
    <w:rsid w:val="00740D42"/>
    <w:rsid w:val="00742739"/>
    <w:rsid w:val="00744AAE"/>
    <w:rsid w:val="00744F4A"/>
    <w:rsid w:val="007463F6"/>
    <w:rsid w:val="00751B24"/>
    <w:rsid w:val="00751CDA"/>
    <w:rsid w:val="0075276B"/>
    <w:rsid w:val="00754496"/>
    <w:rsid w:val="00755EC0"/>
    <w:rsid w:val="0075632D"/>
    <w:rsid w:val="0076032C"/>
    <w:rsid w:val="00761239"/>
    <w:rsid w:val="00762126"/>
    <w:rsid w:val="007649FB"/>
    <w:rsid w:val="00766334"/>
    <w:rsid w:val="00766721"/>
    <w:rsid w:val="00774E57"/>
    <w:rsid w:val="00781099"/>
    <w:rsid w:val="007832C3"/>
    <w:rsid w:val="0078361B"/>
    <w:rsid w:val="007842B4"/>
    <w:rsid w:val="007871D4"/>
    <w:rsid w:val="00787594"/>
    <w:rsid w:val="00790072"/>
    <w:rsid w:val="00796713"/>
    <w:rsid w:val="00796CBD"/>
    <w:rsid w:val="007A4A06"/>
    <w:rsid w:val="007A53B0"/>
    <w:rsid w:val="007B1C7A"/>
    <w:rsid w:val="007B2F43"/>
    <w:rsid w:val="007B31F2"/>
    <w:rsid w:val="007B3DA8"/>
    <w:rsid w:val="007B4B08"/>
    <w:rsid w:val="007B53F9"/>
    <w:rsid w:val="007B6A5C"/>
    <w:rsid w:val="007B6D27"/>
    <w:rsid w:val="007C2B1D"/>
    <w:rsid w:val="007C45B0"/>
    <w:rsid w:val="007C5FFD"/>
    <w:rsid w:val="007C6D19"/>
    <w:rsid w:val="007D1A76"/>
    <w:rsid w:val="007D2825"/>
    <w:rsid w:val="007D62ED"/>
    <w:rsid w:val="007D7BB1"/>
    <w:rsid w:val="007E0D15"/>
    <w:rsid w:val="007F0C40"/>
    <w:rsid w:val="007F66CD"/>
    <w:rsid w:val="007F6811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B47"/>
    <w:rsid w:val="00820F2C"/>
    <w:rsid w:val="00824140"/>
    <w:rsid w:val="0082549D"/>
    <w:rsid w:val="00827C89"/>
    <w:rsid w:val="008303E4"/>
    <w:rsid w:val="008329A5"/>
    <w:rsid w:val="00835314"/>
    <w:rsid w:val="0084640E"/>
    <w:rsid w:val="00847DB4"/>
    <w:rsid w:val="00852746"/>
    <w:rsid w:val="00855913"/>
    <w:rsid w:val="00857E38"/>
    <w:rsid w:val="00862EFD"/>
    <w:rsid w:val="00867A1B"/>
    <w:rsid w:val="008722DF"/>
    <w:rsid w:val="00873AC5"/>
    <w:rsid w:val="00876E2E"/>
    <w:rsid w:val="008774E5"/>
    <w:rsid w:val="00877565"/>
    <w:rsid w:val="008824CF"/>
    <w:rsid w:val="008872BA"/>
    <w:rsid w:val="00890210"/>
    <w:rsid w:val="00892F3A"/>
    <w:rsid w:val="00894763"/>
    <w:rsid w:val="008949FC"/>
    <w:rsid w:val="00895930"/>
    <w:rsid w:val="008A1E00"/>
    <w:rsid w:val="008A1E98"/>
    <w:rsid w:val="008A4FF8"/>
    <w:rsid w:val="008B3EE2"/>
    <w:rsid w:val="008B5CEA"/>
    <w:rsid w:val="008B7191"/>
    <w:rsid w:val="008C39D0"/>
    <w:rsid w:val="008C749F"/>
    <w:rsid w:val="008D19FA"/>
    <w:rsid w:val="008D3BCA"/>
    <w:rsid w:val="008D48D6"/>
    <w:rsid w:val="008D59B4"/>
    <w:rsid w:val="008D7476"/>
    <w:rsid w:val="008E028E"/>
    <w:rsid w:val="008E2D03"/>
    <w:rsid w:val="008E5D7B"/>
    <w:rsid w:val="008E6142"/>
    <w:rsid w:val="008E7BEB"/>
    <w:rsid w:val="008F5021"/>
    <w:rsid w:val="008F5122"/>
    <w:rsid w:val="008F6F10"/>
    <w:rsid w:val="008F6F96"/>
    <w:rsid w:val="0090581E"/>
    <w:rsid w:val="0090691F"/>
    <w:rsid w:val="00910082"/>
    <w:rsid w:val="00911F87"/>
    <w:rsid w:val="00913439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6B2D"/>
    <w:rsid w:val="00937B27"/>
    <w:rsid w:val="0094452B"/>
    <w:rsid w:val="0094738D"/>
    <w:rsid w:val="00947B21"/>
    <w:rsid w:val="00951E2C"/>
    <w:rsid w:val="00955050"/>
    <w:rsid w:val="0095787C"/>
    <w:rsid w:val="00961E63"/>
    <w:rsid w:val="00964433"/>
    <w:rsid w:val="009653E0"/>
    <w:rsid w:val="00966597"/>
    <w:rsid w:val="00967003"/>
    <w:rsid w:val="00967406"/>
    <w:rsid w:val="00974F08"/>
    <w:rsid w:val="009769C6"/>
    <w:rsid w:val="00980CE7"/>
    <w:rsid w:val="00983964"/>
    <w:rsid w:val="009851CB"/>
    <w:rsid w:val="00987340"/>
    <w:rsid w:val="009A6C2C"/>
    <w:rsid w:val="009B059D"/>
    <w:rsid w:val="009B2866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03DD"/>
    <w:rsid w:val="009E60FC"/>
    <w:rsid w:val="009F09FC"/>
    <w:rsid w:val="009F1CF0"/>
    <w:rsid w:val="009F60C1"/>
    <w:rsid w:val="00A00BBB"/>
    <w:rsid w:val="00A01A93"/>
    <w:rsid w:val="00A148D8"/>
    <w:rsid w:val="00A17A92"/>
    <w:rsid w:val="00A27633"/>
    <w:rsid w:val="00A33DF8"/>
    <w:rsid w:val="00A4200A"/>
    <w:rsid w:val="00A45E8F"/>
    <w:rsid w:val="00A47361"/>
    <w:rsid w:val="00A523CC"/>
    <w:rsid w:val="00A546ED"/>
    <w:rsid w:val="00A60217"/>
    <w:rsid w:val="00A60931"/>
    <w:rsid w:val="00A61374"/>
    <w:rsid w:val="00A619DE"/>
    <w:rsid w:val="00A61F7C"/>
    <w:rsid w:val="00A62428"/>
    <w:rsid w:val="00A66AAD"/>
    <w:rsid w:val="00A712EF"/>
    <w:rsid w:val="00A7197A"/>
    <w:rsid w:val="00A73140"/>
    <w:rsid w:val="00A73ED7"/>
    <w:rsid w:val="00A742F4"/>
    <w:rsid w:val="00A75761"/>
    <w:rsid w:val="00A768B2"/>
    <w:rsid w:val="00A81BE1"/>
    <w:rsid w:val="00A81FD7"/>
    <w:rsid w:val="00A829ED"/>
    <w:rsid w:val="00A8573C"/>
    <w:rsid w:val="00A947CB"/>
    <w:rsid w:val="00A9678E"/>
    <w:rsid w:val="00AA0FAC"/>
    <w:rsid w:val="00AB1126"/>
    <w:rsid w:val="00AB1FC1"/>
    <w:rsid w:val="00AB25F5"/>
    <w:rsid w:val="00AB2687"/>
    <w:rsid w:val="00AB4EEC"/>
    <w:rsid w:val="00AB64DE"/>
    <w:rsid w:val="00AB6F19"/>
    <w:rsid w:val="00AC04EE"/>
    <w:rsid w:val="00AC0FF6"/>
    <w:rsid w:val="00AC17FA"/>
    <w:rsid w:val="00AC32F9"/>
    <w:rsid w:val="00AD380C"/>
    <w:rsid w:val="00AD38CE"/>
    <w:rsid w:val="00AD3ACF"/>
    <w:rsid w:val="00AE045A"/>
    <w:rsid w:val="00AE1FD2"/>
    <w:rsid w:val="00AE2D7A"/>
    <w:rsid w:val="00AE40AB"/>
    <w:rsid w:val="00AE42EC"/>
    <w:rsid w:val="00AE4F7C"/>
    <w:rsid w:val="00AE539F"/>
    <w:rsid w:val="00AF2495"/>
    <w:rsid w:val="00AF2749"/>
    <w:rsid w:val="00AF353D"/>
    <w:rsid w:val="00AF4AA4"/>
    <w:rsid w:val="00AF7E13"/>
    <w:rsid w:val="00B00ADD"/>
    <w:rsid w:val="00B00B91"/>
    <w:rsid w:val="00B07754"/>
    <w:rsid w:val="00B1425A"/>
    <w:rsid w:val="00B15BD1"/>
    <w:rsid w:val="00B161AD"/>
    <w:rsid w:val="00B21B82"/>
    <w:rsid w:val="00B222EB"/>
    <w:rsid w:val="00B238D8"/>
    <w:rsid w:val="00B25DBE"/>
    <w:rsid w:val="00B27B22"/>
    <w:rsid w:val="00B27D90"/>
    <w:rsid w:val="00B3135D"/>
    <w:rsid w:val="00B377B2"/>
    <w:rsid w:val="00B41391"/>
    <w:rsid w:val="00B4172D"/>
    <w:rsid w:val="00B538CF"/>
    <w:rsid w:val="00B53D37"/>
    <w:rsid w:val="00B55313"/>
    <w:rsid w:val="00B559AD"/>
    <w:rsid w:val="00B60727"/>
    <w:rsid w:val="00B619C7"/>
    <w:rsid w:val="00B67D94"/>
    <w:rsid w:val="00B700EF"/>
    <w:rsid w:val="00B7066A"/>
    <w:rsid w:val="00B71542"/>
    <w:rsid w:val="00B74A60"/>
    <w:rsid w:val="00B75BE8"/>
    <w:rsid w:val="00B824C4"/>
    <w:rsid w:val="00B85D8C"/>
    <w:rsid w:val="00B947A5"/>
    <w:rsid w:val="00B95572"/>
    <w:rsid w:val="00B96DC1"/>
    <w:rsid w:val="00B97F83"/>
    <w:rsid w:val="00BA2020"/>
    <w:rsid w:val="00BA2DDE"/>
    <w:rsid w:val="00BA2F57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303B"/>
    <w:rsid w:val="00BC548E"/>
    <w:rsid w:val="00BE0CE4"/>
    <w:rsid w:val="00BE1539"/>
    <w:rsid w:val="00BE3089"/>
    <w:rsid w:val="00BE3A45"/>
    <w:rsid w:val="00BE46CF"/>
    <w:rsid w:val="00BE4D4B"/>
    <w:rsid w:val="00BE4E6E"/>
    <w:rsid w:val="00BF0746"/>
    <w:rsid w:val="00BF14CC"/>
    <w:rsid w:val="00BF658E"/>
    <w:rsid w:val="00BF6972"/>
    <w:rsid w:val="00C1041A"/>
    <w:rsid w:val="00C1171C"/>
    <w:rsid w:val="00C2110F"/>
    <w:rsid w:val="00C21837"/>
    <w:rsid w:val="00C311B7"/>
    <w:rsid w:val="00C3154B"/>
    <w:rsid w:val="00C3267B"/>
    <w:rsid w:val="00C3325A"/>
    <w:rsid w:val="00C33264"/>
    <w:rsid w:val="00C50A86"/>
    <w:rsid w:val="00C50EB7"/>
    <w:rsid w:val="00C51093"/>
    <w:rsid w:val="00C5699A"/>
    <w:rsid w:val="00C6039E"/>
    <w:rsid w:val="00C607A2"/>
    <w:rsid w:val="00C60C8C"/>
    <w:rsid w:val="00C621FC"/>
    <w:rsid w:val="00C657BA"/>
    <w:rsid w:val="00C67AEB"/>
    <w:rsid w:val="00C67C8C"/>
    <w:rsid w:val="00C70EE1"/>
    <w:rsid w:val="00C76C5C"/>
    <w:rsid w:val="00C802DC"/>
    <w:rsid w:val="00C80C4D"/>
    <w:rsid w:val="00C812FA"/>
    <w:rsid w:val="00C828CD"/>
    <w:rsid w:val="00C8572E"/>
    <w:rsid w:val="00C87246"/>
    <w:rsid w:val="00C948E3"/>
    <w:rsid w:val="00C964AD"/>
    <w:rsid w:val="00C97FF5"/>
    <w:rsid w:val="00CA353C"/>
    <w:rsid w:val="00CA489A"/>
    <w:rsid w:val="00CA4B80"/>
    <w:rsid w:val="00CA6D83"/>
    <w:rsid w:val="00CB4608"/>
    <w:rsid w:val="00CB56BD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5C00"/>
    <w:rsid w:val="00D1309B"/>
    <w:rsid w:val="00D141D7"/>
    <w:rsid w:val="00D15A19"/>
    <w:rsid w:val="00D175CF"/>
    <w:rsid w:val="00D2049B"/>
    <w:rsid w:val="00D2266B"/>
    <w:rsid w:val="00D24422"/>
    <w:rsid w:val="00D302F0"/>
    <w:rsid w:val="00D309A0"/>
    <w:rsid w:val="00D3268D"/>
    <w:rsid w:val="00D330F4"/>
    <w:rsid w:val="00D3475D"/>
    <w:rsid w:val="00D34AB7"/>
    <w:rsid w:val="00D43126"/>
    <w:rsid w:val="00D435EE"/>
    <w:rsid w:val="00D45D3D"/>
    <w:rsid w:val="00D46859"/>
    <w:rsid w:val="00D57F07"/>
    <w:rsid w:val="00D6186A"/>
    <w:rsid w:val="00D63698"/>
    <w:rsid w:val="00D64B06"/>
    <w:rsid w:val="00D64C48"/>
    <w:rsid w:val="00D6582D"/>
    <w:rsid w:val="00D72163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4F1A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055"/>
    <w:rsid w:val="00DC192A"/>
    <w:rsid w:val="00DC6811"/>
    <w:rsid w:val="00DD052D"/>
    <w:rsid w:val="00DD2953"/>
    <w:rsid w:val="00DD3271"/>
    <w:rsid w:val="00DD4924"/>
    <w:rsid w:val="00DE0DEB"/>
    <w:rsid w:val="00DE4114"/>
    <w:rsid w:val="00DE60AE"/>
    <w:rsid w:val="00DE62D3"/>
    <w:rsid w:val="00DE63CF"/>
    <w:rsid w:val="00DE7F8E"/>
    <w:rsid w:val="00DF0757"/>
    <w:rsid w:val="00DF09F9"/>
    <w:rsid w:val="00DF157C"/>
    <w:rsid w:val="00DF261B"/>
    <w:rsid w:val="00DF3B22"/>
    <w:rsid w:val="00DF4E13"/>
    <w:rsid w:val="00DF77B2"/>
    <w:rsid w:val="00DF7FC6"/>
    <w:rsid w:val="00E033EE"/>
    <w:rsid w:val="00E03EA9"/>
    <w:rsid w:val="00E070FB"/>
    <w:rsid w:val="00E07F03"/>
    <w:rsid w:val="00E10CF1"/>
    <w:rsid w:val="00E13370"/>
    <w:rsid w:val="00E16198"/>
    <w:rsid w:val="00E17B10"/>
    <w:rsid w:val="00E2132E"/>
    <w:rsid w:val="00E21574"/>
    <w:rsid w:val="00E25B7E"/>
    <w:rsid w:val="00E25CD7"/>
    <w:rsid w:val="00E26B83"/>
    <w:rsid w:val="00E26BA8"/>
    <w:rsid w:val="00E26E22"/>
    <w:rsid w:val="00E27521"/>
    <w:rsid w:val="00E27A8B"/>
    <w:rsid w:val="00E34CB2"/>
    <w:rsid w:val="00E3524D"/>
    <w:rsid w:val="00E36217"/>
    <w:rsid w:val="00E442D7"/>
    <w:rsid w:val="00E444F3"/>
    <w:rsid w:val="00E51C0E"/>
    <w:rsid w:val="00E56FDE"/>
    <w:rsid w:val="00E652A9"/>
    <w:rsid w:val="00E672CE"/>
    <w:rsid w:val="00E6746A"/>
    <w:rsid w:val="00E72699"/>
    <w:rsid w:val="00E73377"/>
    <w:rsid w:val="00E741CF"/>
    <w:rsid w:val="00E830CF"/>
    <w:rsid w:val="00E84B54"/>
    <w:rsid w:val="00E875C9"/>
    <w:rsid w:val="00E97083"/>
    <w:rsid w:val="00EA4FF3"/>
    <w:rsid w:val="00EA5CEE"/>
    <w:rsid w:val="00EA79D5"/>
    <w:rsid w:val="00EB00C7"/>
    <w:rsid w:val="00EB2BBE"/>
    <w:rsid w:val="00EB565C"/>
    <w:rsid w:val="00EB64B6"/>
    <w:rsid w:val="00EB6EE8"/>
    <w:rsid w:val="00EB7273"/>
    <w:rsid w:val="00ED1CF5"/>
    <w:rsid w:val="00ED31C9"/>
    <w:rsid w:val="00ED53B6"/>
    <w:rsid w:val="00ED686A"/>
    <w:rsid w:val="00EE04D0"/>
    <w:rsid w:val="00EE071F"/>
    <w:rsid w:val="00EE0A47"/>
    <w:rsid w:val="00EE4211"/>
    <w:rsid w:val="00EE7AEF"/>
    <w:rsid w:val="00EF28C2"/>
    <w:rsid w:val="00EF38DD"/>
    <w:rsid w:val="00EF7ED8"/>
    <w:rsid w:val="00F028BE"/>
    <w:rsid w:val="00F0586A"/>
    <w:rsid w:val="00F063E9"/>
    <w:rsid w:val="00F105B6"/>
    <w:rsid w:val="00F114DB"/>
    <w:rsid w:val="00F13267"/>
    <w:rsid w:val="00F13BDC"/>
    <w:rsid w:val="00F15BF5"/>
    <w:rsid w:val="00F15C7B"/>
    <w:rsid w:val="00F22F02"/>
    <w:rsid w:val="00F254AD"/>
    <w:rsid w:val="00F265AB"/>
    <w:rsid w:val="00F26AAE"/>
    <w:rsid w:val="00F31011"/>
    <w:rsid w:val="00F33188"/>
    <w:rsid w:val="00F33B8F"/>
    <w:rsid w:val="00F34505"/>
    <w:rsid w:val="00F36A4D"/>
    <w:rsid w:val="00F40767"/>
    <w:rsid w:val="00F44A8A"/>
    <w:rsid w:val="00F619C8"/>
    <w:rsid w:val="00F64DA9"/>
    <w:rsid w:val="00F66BB9"/>
    <w:rsid w:val="00F71634"/>
    <w:rsid w:val="00F752EA"/>
    <w:rsid w:val="00F80AF7"/>
    <w:rsid w:val="00F82D52"/>
    <w:rsid w:val="00F83112"/>
    <w:rsid w:val="00F86F64"/>
    <w:rsid w:val="00F91226"/>
    <w:rsid w:val="00F92C0A"/>
    <w:rsid w:val="00FA0394"/>
    <w:rsid w:val="00FB1070"/>
    <w:rsid w:val="00FB27DA"/>
    <w:rsid w:val="00FB3096"/>
    <w:rsid w:val="00FC072A"/>
    <w:rsid w:val="00FC3BB1"/>
    <w:rsid w:val="00FC4547"/>
    <w:rsid w:val="00FD23C2"/>
    <w:rsid w:val="00FD38F9"/>
    <w:rsid w:val="00FD40F0"/>
    <w:rsid w:val="00FD52E9"/>
    <w:rsid w:val="00FD6FDD"/>
    <w:rsid w:val="00FD7ED7"/>
    <w:rsid w:val="00FE0C65"/>
    <w:rsid w:val="00FE580C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  <w14:docId w14:val="5474E8C2"/>
  <w15:docId w15:val="{D0257589-7238-45DA-8D0F-0695C863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central-grou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ral-group.cz/proc-central-grou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ntral-group.cz/tiskove-zpravy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jemelka\AppData\Local\Temp\www.central-group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74EC4-4F06-431D-BEF1-6120E618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921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</cp:lastModifiedBy>
  <cp:revision>6</cp:revision>
  <cp:lastPrinted>2017-05-30T10:14:00Z</cp:lastPrinted>
  <dcterms:created xsi:type="dcterms:W3CDTF">2017-05-22T14:26:00Z</dcterms:created>
  <dcterms:modified xsi:type="dcterms:W3CDTF">2017-05-30T10:21:00Z</dcterms:modified>
</cp:coreProperties>
</file>