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42" w:rsidRDefault="00276E0B" w:rsidP="00EB5042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Dostupnost bydlení v Praze se zhoršila</w:t>
      </w:r>
      <w:r w:rsidR="00200734">
        <w:rPr>
          <w:rFonts w:ascii="Arial Black" w:hAnsi="Arial Black"/>
          <w:color w:val="000000" w:themeColor="text1"/>
          <w:sz w:val="32"/>
          <w:szCs w:val="32"/>
        </w:rPr>
        <w:t>, nový byt spolkne průměrný plat za 1</w:t>
      </w:r>
      <w:r w:rsidR="008722DE">
        <w:rPr>
          <w:rFonts w:ascii="Arial Black" w:hAnsi="Arial Black"/>
          <w:color w:val="000000" w:themeColor="text1"/>
          <w:sz w:val="32"/>
          <w:szCs w:val="32"/>
        </w:rPr>
        <w:t>1,5 roku</w:t>
      </w:r>
    </w:p>
    <w:p w:rsidR="00276E0B" w:rsidRPr="001069E5" w:rsidRDefault="00276E0B" w:rsidP="00EB5042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706CFF" w:rsidRDefault="002C4DCA" w:rsidP="00A81750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Praha,</w:t>
      </w:r>
      <w:r w:rsidR="00EB5042">
        <w:rPr>
          <w:rFonts w:ascii="Arial" w:hAnsi="Arial" w:cs="Arial"/>
          <w:i/>
          <w:lang w:eastAsia="cs-CZ"/>
        </w:rPr>
        <w:t xml:space="preserve"> </w:t>
      </w:r>
      <w:r w:rsidR="00191F39">
        <w:rPr>
          <w:rFonts w:ascii="Arial" w:hAnsi="Arial" w:cs="Arial"/>
          <w:i/>
          <w:lang w:eastAsia="cs-CZ"/>
        </w:rPr>
        <w:t>2</w:t>
      </w:r>
      <w:r w:rsidR="006D37D7">
        <w:rPr>
          <w:rFonts w:ascii="Arial" w:hAnsi="Arial" w:cs="Arial"/>
          <w:i/>
          <w:lang w:eastAsia="cs-CZ"/>
        </w:rPr>
        <w:t>9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EB5042">
        <w:rPr>
          <w:rFonts w:ascii="Arial" w:hAnsi="Arial" w:cs="Arial"/>
          <w:i/>
          <w:lang w:eastAsia="cs-CZ"/>
        </w:rPr>
        <w:t>9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EB5AA3">
        <w:rPr>
          <w:rFonts w:ascii="Arial" w:hAnsi="Arial" w:cs="Arial"/>
          <w:i/>
          <w:lang w:eastAsia="cs-CZ"/>
        </w:rPr>
        <w:t xml:space="preserve"> </w:t>
      </w:r>
      <w:r w:rsidR="00276E0B">
        <w:rPr>
          <w:rFonts w:ascii="Arial" w:hAnsi="Arial" w:cs="Arial"/>
          <w:b/>
          <w:lang w:eastAsia="cs-CZ"/>
        </w:rPr>
        <w:t xml:space="preserve">Nečinnost stavebních úřadů a </w:t>
      </w:r>
      <w:proofErr w:type="spellStart"/>
      <w:r w:rsidR="00276E0B">
        <w:rPr>
          <w:rFonts w:ascii="Arial" w:hAnsi="Arial" w:cs="Arial"/>
          <w:b/>
          <w:lang w:eastAsia="cs-CZ"/>
        </w:rPr>
        <w:t>protirozvojové</w:t>
      </w:r>
      <w:proofErr w:type="spellEnd"/>
      <w:r w:rsidR="00276E0B">
        <w:rPr>
          <w:rFonts w:ascii="Arial" w:hAnsi="Arial" w:cs="Arial"/>
          <w:b/>
          <w:lang w:eastAsia="cs-CZ"/>
        </w:rPr>
        <w:t xml:space="preserve"> naladění řady pražských městských částí vede </w:t>
      </w:r>
      <w:r w:rsidR="00FC109A">
        <w:rPr>
          <w:rFonts w:ascii="Arial" w:hAnsi="Arial" w:cs="Arial"/>
          <w:b/>
          <w:lang w:eastAsia="cs-CZ"/>
        </w:rPr>
        <w:t xml:space="preserve">v poslední době ke </w:t>
      </w:r>
      <w:r w:rsidR="00276E0B">
        <w:rPr>
          <w:rFonts w:ascii="Arial" w:hAnsi="Arial" w:cs="Arial"/>
          <w:b/>
          <w:lang w:eastAsia="cs-CZ"/>
        </w:rPr>
        <w:t xml:space="preserve">zhoršení </w:t>
      </w:r>
      <w:r w:rsidR="00E41DCD">
        <w:rPr>
          <w:rFonts w:ascii="Arial" w:hAnsi="Arial" w:cs="Arial"/>
          <w:b/>
          <w:lang w:eastAsia="cs-CZ"/>
        </w:rPr>
        <w:t xml:space="preserve">situace </w:t>
      </w:r>
      <w:r w:rsidR="00276E0B">
        <w:rPr>
          <w:rFonts w:ascii="Arial" w:hAnsi="Arial" w:cs="Arial"/>
          <w:b/>
          <w:lang w:eastAsia="cs-CZ"/>
        </w:rPr>
        <w:t xml:space="preserve">na trhu nového bydlení. V důsledku </w:t>
      </w:r>
      <w:r w:rsidR="00FC109A">
        <w:rPr>
          <w:rFonts w:ascii="Arial" w:hAnsi="Arial" w:cs="Arial"/>
          <w:b/>
          <w:lang w:eastAsia="cs-CZ"/>
        </w:rPr>
        <w:t xml:space="preserve">kombinace prodejního boomu a </w:t>
      </w:r>
      <w:r w:rsidR="00276E0B">
        <w:rPr>
          <w:rFonts w:ascii="Arial" w:hAnsi="Arial" w:cs="Arial"/>
          <w:b/>
          <w:lang w:eastAsia="cs-CZ"/>
        </w:rPr>
        <w:t xml:space="preserve">ubývajících bytů z nabídky developerů jdou ceny nahoru. Za poslední rok o pětinu. Projevilo se to zhoršením dostupnosti nového bydlení v Praze. Zatímco ještě před rokem musel průměrný </w:t>
      </w:r>
      <w:r w:rsidR="000B382C">
        <w:rPr>
          <w:rFonts w:ascii="Arial" w:hAnsi="Arial" w:cs="Arial"/>
          <w:b/>
          <w:lang w:eastAsia="cs-CZ"/>
        </w:rPr>
        <w:t>obyvatel Prahy</w:t>
      </w:r>
      <w:r w:rsidR="00276E0B">
        <w:rPr>
          <w:rFonts w:ascii="Arial" w:hAnsi="Arial" w:cs="Arial"/>
          <w:b/>
          <w:lang w:eastAsia="cs-CZ"/>
        </w:rPr>
        <w:t xml:space="preserve"> na nový byt šetřit </w:t>
      </w:r>
      <w:r w:rsidR="008722DE">
        <w:rPr>
          <w:rFonts w:ascii="Arial" w:hAnsi="Arial" w:cs="Arial"/>
          <w:b/>
          <w:lang w:eastAsia="cs-CZ"/>
        </w:rPr>
        <w:t xml:space="preserve">necelých </w:t>
      </w:r>
      <w:r w:rsidR="00276E0B">
        <w:rPr>
          <w:rFonts w:ascii="Arial" w:hAnsi="Arial" w:cs="Arial"/>
          <w:b/>
          <w:lang w:eastAsia="cs-CZ"/>
        </w:rPr>
        <w:t xml:space="preserve">deset let, letos je to již </w:t>
      </w:r>
      <w:r w:rsidR="008722DE">
        <w:rPr>
          <w:rFonts w:ascii="Arial" w:hAnsi="Arial" w:cs="Arial"/>
          <w:b/>
          <w:lang w:eastAsia="cs-CZ"/>
        </w:rPr>
        <w:t>11,5 roku</w:t>
      </w:r>
      <w:r w:rsidR="00276E0B">
        <w:rPr>
          <w:rFonts w:ascii="Arial" w:hAnsi="Arial" w:cs="Arial"/>
          <w:b/>
          <w:lang w:eastAsia="cs-CZ"/>
        </w:rPr>
        <w:t>.</w:t>
      </w:r>
    </w:p>
    <w:p w:rsidR="00276E0B" w:rsidRDefault="00276E0B" w:rsidP="00A81750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E41DCD" w:rsidRDefault="00E6755F" w:rsidP="00A81750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Podle výzkumu, který společně provádí </w:t>
      </w:r>
      <w:proofErr w:type="spellStart"/>
      <w:r>
        <w:rPr>
          <w:rFonts w:ascii="Arial" w:hAnsi="Arial" w:cs="Arial"/>
          <w:lang w:eastAsia="cs-CZ"/>
        </w:rPr>
        <w:t>Trigema</w:t>
      </w:r>
      <w:proofErr w:type="spellEnd"/>
      <w:r>
        <w:rPr>
          <w:rFonts w:ascii="Arial" w:hAnsi="Arial" w:cs="Arial"/>
          <w:lang w:eastAsia="cs-CZ"/>
        </w:rPr>
        <w:t xml:space="preserve">, </w:t>
      </w:r>
      <w:r w:rsidR="00337386">
        <w:rPr>
          <w:rFonts w:ascii="Arial" w:hAnsi="Arial" w:cs="Arial"/>
          <w:lang w:eastAsia="cs-CZ"/>
        </w:rPr>
        <w:t xml:space="preserve">Skanska Reality a </w:t>
      </w:r>
      <w:proofErr w:type="spellStart"/>
      <w:r w:rsidR="00337386">
        <w:rPr>
          <w:rFonts w:ascii="Arial" w:hAnsi="Arial" w:cs="Arial"/>
          <w:lang w:eastAsia="cs-CZ"/>
        </w:rPr>
        <w:t>Central</w:t>
      </w:r>
      <w:proofErr w:type="spellEnd"/>
      <w:r w:rsidR="00337386">
        <w:rPr>
          <w:rFonts w:ascii="Arial" w:hAnsi="Arial" w:cs="Arial"/>
          <w:lang w:eastAsia="cs-CZ"/>
        </w:rPr>
        <w:t xml:space="preserve"> Group,</w:t>
      </w:r>
      <w:r>
        <w:rPr>
          <w:rFonts w:ascii="Arial" w:hAnsi="Arial" w:cs="Arial"/>
          <w:lang w:eastAsia="cs-CZ"/>
        </w:rPr>
        <w:t xml:space="preserve"> </w:t>
      </w:r>
      <w:r w:rsidR="000B696E">
        <w:rPr>
          <w:rFonts w:ascii="Arial" w:hAnsi="Arial" w:cs="Arial"/>
          <w:lang w:eastAsia="cs-CZ"/>
        </w:rPr>
        <w:t>má průměrný nový byt v Praze 71,6 m</w:t>
      </w:r>
      <w:r w:rsidR="000B382C" w:rsidRPr="000B382C">
        <w:rPr>
          <w:rFonts w:ascii="Arial" w:hAnsi="Arial" w:cs="Arial"/>
          <w:vertAlign w:val="superscript"/>
          <w:lang w:eastAsia="cs-CZ"/>
        </w:rPr>
        <w:t>2</w:t>
      </w:r>
      <w:r w:rsidR="000B696E">
        <w:rPr>
          <w:rFonts w:ascii="Arial" w:hAnsi="Arial" w:cs="Arial"/>
          <w:lang w:eastAsia="cs-CZ"/>
        </w:rPr>
        <w:t xml:space="preserve"> a stojí 4,8 milionu korun. Při průměrné mzdě v Praze ve výši </w:t>
      </w:r>
      <w:r w:rsidR="000C4380">
        <w:rPr>
          <w:rFonts w:ascii="Arial" w:hAnsi="Arial" w:cs="Arial"/>
          <w:lang w:eastAsia="cs-CZ"/>
        </w:rPr>
        <w:t>34.824</w:t>
      </w:r>
      <w:r w:rsidR="000B696E">
        <w:rPr>
          <w:rFonts w:ascii="Arial" w:hAnsi="Arial" w:cs="Arial"/>
          <w:lang w:eastAsia="cs-CZ"/>
        </w:rPr>
        <w:t xml:space="preserve"> </w:t>
      </w:r>
      <w:r w:rsidR="00346D31">
        <w:rPr>
          <w:rFonts w:ascii="Arial" w:hAnsi="Arial" w:cs="Arial"/>
          <w:lang w:eastAsia="cs-CZ"/>
        </w:rPr>
        <w:t>k</w:t>
      </w:r>
      <w:r w:rsidR="000B696E">
        <w:rPr>
          <w:rFonts w:ascii="Arial" w:hAnsi="Arial" w:cs="Arial"/>
          <w:lang w:eastAsia="cs-CZ"/>
        </w:rPr>
        <w:t>orun</w:t>
      </w:r>
      <w:r w:rsidR="00346D31">
        <w:rPr>
          <w:rFonts w:ascii="Arial" w:hAnsi="Arial" w:cs="Arial"/>
          <w:lang w:eastAsia="cs-CZ"/>
        </w:rPr>
        <w:t xml:space="preserve"> </w:t>
      </w:r>
      <w:r w:rsidR="000B696E">
        <w:rPr>
          <w:rFonts w:ascii="Arial" w:hAnsi="Arial" w:cs="Arial"/>
          <w:lang w:eastAsia="cs-CZ"/>
        </w:rPr>
        <w:t xml:space="preserve">tak za něj </w:t>
      </w:r>
      <w:r w:rsidR="00910BCA">
        <w:rPr>
          <w:rFonts w:ascii="Arial" w:hAnsi="Arial" w:cs="Arial"/>
          <w:lang w:eastAsia="cs-CZ"/>
        </w:rPr>
        <w:t xml:space="preserve">běžný </w:t>
      </w:r>
      <w:r w:rsidR="000B696E">
        <w:rPr>
          <w:rFonts w:ascii="Arial" w:hAnsi="Arial" w:cs="Arial"/>
          <w:lang w:eastAsia="cs-CZ"/>
        </w:rPr>
        <w:t xml:space="preserve">Pražan utratí veškeré své příjmy za </w:t>
      </w:r>
      <w:r w:rsidR="008722DE">
        <w:rPr>
          <w:rFonts w:ascii="Arial" w:hAnsi="Arial" w:cs="Arial"/>
          <w:lang w:eastAsia="cs-CZ"/>
        </w:rPr>
        <w:t>11,5</w:t>
      </w:r>
      <w:r w:rsidR="000B696E">
        <w:rPr>
          <w:rFonts w:ascii="Arial" w:hAnsi="Arial" w:cs="Arial"/>
          <w:lang w:eastAsia="cs-CZ"/>
        </w:rPr>
        <w:t xml:space="preserve"> roku. Ještě loni to byl plat za </w:t>
      </w:r>
      <w:r w:rsidR="00E41DCD">
        <w:rPr>
          <w:rFonts w:ascii="Arial" w:hAnsi="Arial" w:cs="Arial"/>
          <w:lang w:eastAsia="cs-CZ"/>
        </w:rPr>
        <w:t>necelých deset</w:t>
      </w:r>
      <w:r w:rsidR="008722DE">
        <w:rPr>
          <w:rFonts w:ascii="Arial" w:hAnsi="Arial" w:cs="Arial"/>
          <w:lang w:eastAsia="cs-CZ"/>
        </w:rPr>
        <w:t xml:space="preserve"> let</w:t>
      </w:r>
      <w:r w:rsidR="000B696E">
        <w:rPr>
          <w:rFonts w:ascii="Arial" w:hAnsi="Arial" w:cs="Arial"/>
          <w:lang w:eastAsia="cs-CZ"/>
        </w:rPr>
        <w:t xml:space="preserve">. Za rok se tak dostupnost nového bydlení výrazně zhoršila. </w:t>
      </w:r>
    </w:p>
    <w:p w:rsidR="00E41DCD" w:rsidRDefault="00E41DCD" w:rsidP="00A81750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10BCA" w:rsidRDefault="00E41DCD" w:rsidP="00090CC4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910BCA">
        <w:rPr>
          <w:rFonts w:ascii="Arial" w:hAnsi="Arial" w:cs="Arial"/>
          <w:lang w:eastAsia="cs-CZ"/>
        </w:rPr>
        <w:t>ořízení vlastního bytu v Praze navíc začíná být hůře dostupn</w:t>
      </w:r>
      <w:r w:rsidR="00617A5A">
        <w:rPr>
          <w:rFonts w:ascii="Arial" w:hAnsi="Arial" w:cs="Arial"/>
          <w:lang w:eastAsia="cs-CZ"/>
        </w:rPr>
        <w:t>é</w:t>
      </w:r>
      <w:r w:rsidR="00910BCA">
        <w:rPr>
          <w:rFonts w:ascii="Arial" w:hAnsi="Arial" w:cs="Arial"/>
          <w:lang w:eastAsia="cs-CZ"/>
        </w:rPr>
        <w:t xml:space="preserve"> i v porovnání s okolními metropolemi. Průměrný obyvatel Bratislavy na tamní průměrný byt vydělá teoreticky za necelých devět let, obyvatel Varšavy pak dokonce za 6,4 roku, což je ovšem dáno výrazně menší průměrnou výměrou i cenou tamních bytů. </w:t>
      </w:r>
      <w:r w:rsidR="00337386" w:rsidRPr="00090CC4">
        <w:rPr>
          <w:rFonts w:ascii="Arial" w:hAnsi="Arial" w:cs="Arial"/>
          <w:i/>
          <w:lang w:eastAsia="cs-CZ"/>
        </w:rPr>
        <w:t>„</w:t>
      </w:r>
      <w:r w:rsidRPr="00090CC4">
        <w:rPr>
          <w:rFonts w:ascii="Arial" w:hAnsi="Arial" w:cs="Arial"/>
          <w:i/>
          <w:lang w:eastAsia="cs-CZ"/>
        </w:rPr>
        <w:t>Ani Vídeň nebo Mnichov, kde jsou ceny nových bytů výrazně vyšší, se ale kvůli vyšším průměrným příjmům nedostal</w:t>
      </w:r>
      <w:r w:rsidR="00D048C2">
        <w:rPr>
          <w:rFonts w:ascii="Arial" w:hAnsi="Arial" w:cs="Arial"/>
          <w:i/>
          <w:lang w:eastAsia="cs-CZ"/>
        </w:rPr>
        <w:t>y</w:t>
      </w:r>
      <w:bookmarkStart w:id="0" w:name="_GoBack"/>
      <w:bookmarkEnd w:id="0"/>
      <w:r w:rsidRPr="00090CC4">
        <w:rPr>
          <w:rFonts w:ascii="Arial" w:hAnsi="Arial" w:cs="Arial"/>
          <w:i/>
          <w:lang w:eastAsia="cs-CZ"/>
        </w:rPr>
        <w:t xml:space="preserve"> s</w:t>
      </w:r>
      <w:r w:rsidR="00090CC4" w:rsidRPr="00090CC4">
        <w:rPr>
          <w:rFonts w:ascii="Arial" w:hAnsi="Arial" w:cs="Arial"/>
          <w:i/>
          <w:lang w:eastAsia="cs-CZ"/>
        </w:rPr>
        <w:t> </w:t>
      </w:r>
      <w:r w:rsidRPr="00090CC4">
        <w:rPr>
          <w:rFonts w:ascii="Arial" w:hAnsi="Arial" w:cs="Arial"/>
          <w:i/>
          <w:lang w:eastAsia="cs-CZ"/>
        </w:rPr>
        <w:t>dobou</w:t>
      </w:r>
      <w:r w:rsidR="00090CC4" w:rsidRPr="00090CC4">
        <w:rPr>
          <w:rFonts w:ascii="Arial" w:hAnsi="Arial" w:cs="Arial"/>
          <w:i/>
          <w:lang w:eastAsia="cs-CZ"/>
        </w:rPr>
        <w:t>, po kterou musí tamní obyvatelé na nové bydlení šetřit,</w:t>
      </w:r>
      <w:r w:rsidRPr="00090CC4">
        <w:rPr>
          <w:rFonts w:ascii="Arial" w:hAnsi="Arial" w:cs="Arial"/>
          <w:i/>
          <w:lang w:eastAsia="cs-CZ"/>
        </w:rPr>
        <w:t xml:space="preserve"> nad deset let,“</w:t>
      </w:r>
      <w:r>
        <w:rPr>
          <w:rFonts w:ascii="Arial" w:hAnsi="Arial" w:cs="Arial"/>
          <w:lang w:eastAsia="cs-CZ"/>
        </w:rPr>
        <w:t xml:space="preserve"> </w:t>
      </w:r>
      <w:r w:rsidR="00910BCA">
        <w:rPr>
          <w:rFonts w:ascii="Arial" w:hAnsi="Arial" w:cs="Arial"/>
          <w:lang w:eastAsia="cs-CZ"/>
        </w:rPr>
        <w:t xml:space="preserve">poznamenal </w:t>
      </w:r>
      <w:r>
        <w:rPr>
          <w:rFonts w:ascii="Arial" w:hAnsi="Arial" w:cs="Arial"/>
          <w:lang w:eastAsia="cs-CZ"/>
        </w:rPr>
        <w:t xml:space="preserve">šéf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Dušan Kunovský. </w:t>
      </w:r>
    </w:p>
    <w:p w:rsidR="00346D31" w:rsidRDefault="00DC21DA" w:rsidP="00A81750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AADC05B" wp14:editId="56B93FD2">
            <wp:simplePos x="0" y="0"/>
            <wp:positionH relativeFrom="column">
              <wp:posOffset>892810</wp:posOffset>
            </wp:positionH>
            <wp:positionV relativeFrom="paragraph">
              <wp:posOffset>330200</wp:posOffset>
            </wp:positionV>
            <wp:extent cx="4334400" cy="2311200"/>
            <wp:effectExtent l="0" t="0" r="0" b="0"/>
            <wp:wrapTopAndBottom/>
            <wp:docPr id="4" name="Obrázek 4" descr="C:\Users\havel\AppData\Local\Microsoft\Windows\INetCacheContent.Word\Kreslicí plátn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vel\AppData\Local\Microsoft\Windows\INetCacheContent.Word\Kreslicí plátno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82C" w:rsidRDefault="000B382C" w:rsidP="00346D31">
      <w:pPr>
        <w:spacing w:after="0"/>
        <w:contextualSpacing/>
        <w:jc w:val="center"/>
        <w:rPr>
          <w:rFonts w:ascii="Arial" w:hAnsi="Arial" w:cs="Arial"/>
          <w:lang w:eastAsia="cs-CZ"/>
        </w:rPr>
      </w:pPr>
    </w:p>
    <w:p w:rsidR="00191F39" w:rsidRDefault="00191F39" w:rsidP="00191F39">
      <w:pPr>
        <w:jc w:val="both"/>
        <w:rPr>
          <w:rFonts w:ascii="Arial" w:hAnsi="Arial" w:cs="Arial"/>
        </w:rPr>
      </w:pPr>
      <w:r w:rsidRPr="00090CC4">
        <w:rPr>
          <w:rFonts w:ascii="Arial" w:hAnsi="Arial" w:cs="Arial"/>
          <w:i/>
          <w:lang w:eastAsia="cs-CZ"/>
        </w:rPr>
        <w:t>„</w:t>
      </w:r>
      <w:r w:rsidRPr="00090CC4">
        <w:rPr>
          <w:rFonts w:ascii="Arial" w:hAnsi="Arial" w:cs="Arial"/>
          <w:i/>
        </w:rPr>
        <w:t xml:space="preserve">Tato situace je ovlivněna především skutečností, že tempo výstavby se v Praze v porovnání se zahraničními metropolemi významně zpomaluje. Počet bytů, u kterých se zahájila v posledním půlroce výstavba, je třikrát menší než počet prodaných bytů. Pokud nedojde k významné změně nerovnováhy na trhu, pak se situace, kdy je například obyvatel Bratislavy schopen pořídit si vlastní </w:t>
      </w:r>
      <w:r w:rsidRPr="00090CC4">
        <w:rPr>
          <w:rFonts w:ascii="Arial" w:hAnsi="Arial" w:cs="Arial"/>
          <w:i/>
        </w:rPr>
        <w:lastRenderedPageBreak/>
        <w:t>nový byt o čtvrtinu rychleji, určitě nezmění,“</w:t>
      </w:r>
      <w:r>
        <w:rPr>
          <w:rFonts w:ascii="Arial" w:hAnsi="Arial" w:cs="Arial"/>
        </w:rPr>
        <w:t xml:space="preserve"> doplnil Pavel Kliment, partner poradenské společnosti KPMG, která na výzkumu s </w:t>
      </w:r>
      <w:proofErr w:type="spellStart"/>
      <w:proofErr w:type="gramStart"/>
      <w:r>
        <w:rPr>
          <w:rFonts w:ascii="Arial" w:hAnsi="Arial" w:cs="Arial"/>
        </w:rPr>
        <w:t>Central</w:t>
      </w:r>
      <w:proofErr w:type="spellEnd"/>
      <w:proofErr w:type="gramEnd"/>
      <w:r>
        <w:rPr>
          <w:rFonts w:ascii="Arial" w:hAnsi="Arial" w:cs="Arial"/>
        </w:rPr>
        <w:t xml:space="preserve"> Group spolupracovala.</w:t>
      </w:r>
    </w:p>
    <w:p w:rsidR="002E79FF" w:rsidRDefault="000B382C" w:rsidP="00A81750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5D4686">
        <w:rPr>
          <w:rFonts w:ascii="Arial" w:hAnsi="Arial" w:cs="Arial"/>
          <w:i/>
          <w:lang w:eastAsia="cs-CZ"/>
        </w:rPr>
        <w:t>„</w:t>
      </w:r>
      <w:r w:rsidR="000B696E" w:rsidRPr="005D4686">
        <w:rPr>
          <w:rFonts w:ascii="Arial" w:hAnsi="Arial" w:cs="Arial"/>
          <w:i/>
          <w:lang w:eastAsia="cs-CZ"/>
        </w:rPr>
        <w:t>Fakt, že</w:t>
      </w:r>
      <w:r w:rsidRPr="005D4686">
        <w:rPr>
          <w:rFonts w:ascii="Arial" w:hAnsi="Arial" w:cs="Arial"/>
          <w:i/>
          <w:lang w:eastAsia="cs-CZ"/>
        </w:rPr>
        <w:t xml:space="preserve"> se zhoršen</w:t>
      </w:r>
      <w:r w:rsidR="00346D31">
        <w:rPr>
          <w:rFonts w:ascii="Arial" w:hAnsi="Arial" w:cs="Arial"/>
          <w:i/>
          <w:lang w:eastAsia="cs-CZ"/>
        </w:rPr>
        <w:t>í</w:t>
      </w:r>
      <w:r w:rsidRPr="005D4686">
        <w:rPr>
          <w:rFonts w:ascii="Arial" w:hAnsi="Arial" w:cs="Arial"/>
          <w:i/>
          <w:lang w:eastAsia="cs-CZ"/>
        </w:rPr>
        <w:t xml:space="preserve"> </w:t>
      </w:r>
      <w:r w:rsidR="00346D31">
        <w:rPr>
          <w:rFonts w:ascii="Arial" w:hAnsi="Arial" w:cs="Arial"/>
          <w:i/>
          <w:lang w:eastAsia="cs-CZ"/>
        </w:rPr>
        <w:t xml:space="preserve">dostupnosti </w:t>
      </w:r>
      <w:r w:rsidRPr="005D4686">
        <w:rPr>
          <w:rFonts w:ascii="Arial" w:hAnsi="Arial" w:cs="Arial"/>
          <w:i/>
          <w:lang w:eastAsia="cs-CZ"/>
        </w:rPr>
        <w:t xml:space="preserve">neprojevuje na prodejích, je dán především aktuálně rekordně levnými hypotékami. </w:t>
      </w:r>
      <w:r w:rsidR="002E79FF">
        <w:rPr>
          <w:rFonts w:ascii="Arial" w:hAnsi="Arial" w:cs="Arial"/>
          <w:i/>
          <w:lang w:eastAsia="cs-CZ"/>
        </w:rPr>
        <w:t>Tím se také částečně mění struktura kupujících. Mezi nimi přibývají Češi na úkor cizinců, kteří v minulosti tvořili až čtvrtinu a v letošním roce jejich podíl klesl k pětině. Přes polovinu z nich navíc tvoří Slováci, které za cizince obvykle ani nepovažujeme</w:t>
      </w:r>
      <w:r w:rsidRPr="005D4686">
        <w:rPr>
          <w:rFonts w:ascii="Arial" w:hAnsi="Arial" w:cs="Arial"/>
          <w:i/>
          <w:lang w:eastAsia="cs-CZ"/>
        </w:rPr>
        <w:t>,“</w:t>
      </w:r>
      <w:r w:rsidR="000B696E">
        <w:rPr>
          <w:rFonts w:ascii="Arial" w:hAnsi="Arial" w:cs="Arial"/>
          <w:lang w:eastAsia="cs-CZ"/>
        </w:rPr>
        <w:t xml:space="preserve"> řekl Kunovský. </w:t>
      </w:r>
      <w:r w:rsidR="00093A32" w:rsidRPr="00910BCA">
        <w:rPr>
          <w:rFonts w:ascii="Arial" w:hAnsi="Arial" w:cs="Arial"/>
          <w:i/>
          <w:lang w:eastAsia="cs-CZ"/>
        </w:rPr>
        <w:t>„</w:t>
      </w:r>
      <w:r w:rsidR="00910BCA">
        <w:rPr>
          <w:rFonts w:ascii="Arial" w:hAnsi="Arial" w:cs="Arial"/>
          <w:i/>
          <w:lang w:eastAsia="cs-CZ"/>
        </w:rPr>
        <w:t xml:space="preserve">Naproti tomu </w:t>
      </w:r>
      <w:r w:rsidR="00093A32" w:rsidRPr="00910BCA">
        <w:rPr>
          <w:rFonts w:ascii="Arial" w:hAnsi="Arial" w:cs="Arial"/>
          <w:i/>
          <w:lang w:eastAsia="cs-CZ"/>
        </w:rPr>
        <w:t>Praha k sobě přitahuje stále více aktivních a šikovných lidí z regionů, kteří sem přicházejí uplatnit své schopnosti,“</w:t>
      </w:r>
      <w:r w:rsidR="00093A32">
        <w:rPr>
          <w:rFonts w:ascii="Arial" w:hAnsi="Arial" w:cs="Arial"/>
          <w:lang w:eastAsia="cs-CZ"/>
        </w:rPr>
        <w:t xml:space="preserve"> dodal.</w:t>
      </w: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8722DE" w:rsidRDefault="00257663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E6DA6C0" wp14:editId="2FA2FEF9">
            <wp:simplePos x="723900" y="3371850"/>
            <wp:positionH relativeFrom="column">
              <wp:align>center</wp:align>
            </wp:positionH>
            <wp:positionV relativeFrom="paragraph">
              <wp:posOffset>0</wp:posOffset>
            </wp:positionV>
            <wp:extent cx="4827600" cy="4089600"/>
            <wp:effectExtent l="0" t="0" r="0" b="635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eslicí plátno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600" cy="40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F39" w:rsidRPr="00191F39" w:rsidRDefault="00191F39" w:rsidP="00191F39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eastAsia="cs-CZ"/>
        </w:rPr>
      </w:pPr>
      <w:r w:rsidRPr="00191F39">
        <w:rPr>
          <w:rFonts w:ascii="Arial" w:hAnsi="Arial" w:cs="Arial"/>
          <w:i/>
          <w:sz w:val="16"/>
          <w:szCs w:val="16"/>
          <w:lang w:eastAsia="cs-CZ"/>
        </w:rPr>
        <w:t xml:space="preserve">Zdroj dat: </w:t>
      </w:r>
      <w:r w:rsidRPr="00191F39">
        <w:rPr>
          <w:rFonts w:ascii="Arial" w:hAnsi="Arial" w:cs="Arial"/>
          <w:color w:val="000000" w:themeColor="text1"/>
          <w:sz w:val="16"/>
          <w:szCs w:val="16"/>
        </w:rPr>
        <w:t xml:space="preserve">Výpočty </w:t>
      </w:r>
      <w:proofErr w:type="spellStart"/>
      <w:r w:rsidRPr="00191F39">
        <w:rPr>
          <w:rFonts w:ascii="Arial" w:hAnsi="Arial" w:cs="Arial"/>
          <w:color w:val="000000" w:themeColor="text1"/>
          <w:sz w:val="16"/>
          <w:szCs w:val="16"/>
        </w:rPr>
        <w:t>Central</w:t>
      </w:r>
      <w:proofErr w:type="spellEnd"/>
      <w:r w:rsidRPr="00191F39">
        <w:rPr>
          <w:rFonts w:ascii="Arial" w:hAnsi="Arial" w:cs="Arial"/>
          <w:color w:val="000000" w:themeColor="text1"/>
          <w:sz w:val="16"/>
          <w:szCs w:val="16"/>
        </w:rPr>
        <w:t xml:space="preserve"> Group a KPMG, data: a) Praha – H1 2016 analýza společností </w:t>
      </w:r>
      <w:proofErr w:type="spellStart"/>
      <w:r w:rsidRPr="00191F39">
        <w:rPr>
          <w:rFonts w:ascii="Arial" w:hAnsi="Arial" w:cs="Arial"/>
          <w:color w:val="000000" w:themeColor="text1"/>
          <w:sz w:val="16"/>
          <w:szCs w:val="16"/>
        </w:rPr>
        <w:t>Trigema</w:t>
      </w:r>
      <w:proofErr w:type="spellEnd"/>
      <w:r w:rsidRPr="00191F39">
        <w:rPr>
          <w:rFonts w:ascii="Arial" w:hAnsi="Arial" w:cs="Arial"/>
          <w:color w:val="000000" w:themeColor="text1"/>
          <w:sz w:val="16"/>
          <w:szCs w:val="16"/>
        </w:rPr>
        <w:t xml:space="preserve">, Skanska Reality a </w:t>
      </w:r>
      <w:proofErr w:type="spellStart"/>
      <w:r w:rsidRPr="00191F39">
        <w:rPr>
          <w:rFonts w:ascii="Arial" w:hAnsi="Arial" w:cs="Arial"/>
          <w:color w:val="000000" w:themeColor="text1"/>
          <w:sz w:val="16"/>
          <w:szCs w:val="16"/>
        </w:rPr>
        <w:t>Central</w:t>
      </w:r>
      <w:proofErr w:type="spellEnd"/>
      <w:r w:rsidRPr="00191F39">
        <w:rPr>
          <w:rFonts w:ascii="Arial" w:hAnsi="Arial" w:cs="Arial"/>
          <w:color w:val="000000" w:themeColor="text1"/>
          <w:sz w:val="16"/>
          <w:szCs w:val="16"/>
        </w:rPr>
        <w:t xml:space="preserve"> Group b) Bratislava – H1 2016, </w:t>
      </w:r>
      <w:proofErr w:type="spellStart"/>
      <w:r w:rsidRPr="00191F39">
        <w:rPr>
          <w:rFonts w:ascii="Arial" w:hAnsi="Arial" w:cs="Arial"/>
          <w:color w:val="000000" w:themeColor="text1"/>
          <w:sz w:val="16"/>
          <w:szCs w:val="16"/>
        </w:rPr>
        <w:t>Lexxus</w:t>
      </w:r>
      <w:proofErr w:type="spellEnd"/>
      <w:r w:rsidRPr="00191F39">
        <w:rPr>
          <w:rFonts w:ascii="Arial" w:hAnsi="Arial" w:cs="Arial"/>
          <w:color w:val="000000" w:themeColor="text1"/>
          <w:sz w:val="16"/>
          <w:szCs w:val="16"/>
        </w:rPr>
        <w:t xml:space="preserve"> Bratislava, </w:t>
      </w:r>
      <w:proofErr w:type="spellStart"/>
      <w:r w:rsidRPr="00191F39">
        <w:rPr>
          <w:rFonts w:ascii="Arial" w:hAnsi="Arial" w:cs="Arial"/>
          <w:color w:val="000000" w:themeColor="text1"/>
          <w:sz w:val="16"/>
          <w:szCs w:val="16"/>
        </w:rPr>
        <w:t>Bencont</w:t>
      </w:r>
      <w:proofErr w:type="spellEnd"/>
      <w:r w:rsidRPr="00191F39">
        <w:rPr>
          <w:rFonts w:ascii="Arial" w:hAnsi="Arial" w:cs="Arial"/>
          <w:color w:val="000000" w:themeColor="text1"/>
          <w:sz w:val="16"/>
          <w:szCs w:val="16"/>
        </w:rPr>
        <w:t xml:space="preserve"> c) Budapešť – H1 2016, Duna House d)Varšava – H1,  REAS </w:t>
      </w:r>
      <w:r w:rsidRPr="00191F39">
        <w:rPr>
          <w:rFonts w:ascii="Arial" w:hAnsi="Arial" w:cs="Arial"/>
          <w:color w:val="000000" w:themeColor="text1"/>
          <w:sz w:val="16"/>
          <w:szCs w:val="16"/>
          <w:lang w:val="pl-PL"/>
        </w:rPr>
        <w:t>| Residential Advisors, e)Vídeň – 2015, EHL / BUWOG f) Německá města – 2015 CBRE (průměrná velikost bytu), Jones Lang Lasalle, Landesbausparkassen (LBS)</w:t>
      </w:r>
      <w:r w:rsidRPr="00191F39">
        <w:rPr>
          <w:rFonts w:ascii="Arial" w:hAnsi="Arial" w:cs="Arial"/>
          <w:color w:val="000000" w:themeColor="text1"/>
          <w:sz w:val="16"/>
          <w:szCs w:val="16"/>
          <w:lang w:val="en-US"/>
        </w:rPr>
        <w:t>;  </w:t>
      </w:r>
      <w:r w:rsidRPr="00191F39">
        <w:rPr>
          <w:rFonts w:ascii="Arial" w:hAnsi="Arial" w:cs="Arial"/>
          <w:color w:val="000000" w:themeColor="text1"/>
          <w:sz w:val="16"/>
          <w:szCs w:val="16"/>
        </w:rPr>
        <w:t>Průměrná hrubá mzda – dle statistických úřadů daných zemí, u německý</w:t>
      </w:r>
      <w:r>
        <w:rPr>
          <w:rFonts w:ascii="Arial" w:hAnsi="Arial" w:cs="Arial"/>
          <w:color w:val="000000" w:themeColor="text1"/>
          <w:sz w:val="16"/>
          <w:szCs w:val="16"/>
        </w:rPr>
        <w:t>ch</w:t>
      </w:r>
      <w:r w:rsidRPr="00191F39">
        <w:rPr>
          <w:rFonts w:ascii="Arial" w:hAnsi="Arial" w:cs="Arial"/>
          <w:color w:val="000000" w:themeColor="text1"/>
          <w:sz w:val="16"/>
          <w:szCs w:val="16"/>
        </w:rPr>
        <w:t xml:space="preserve"> měst a Vídně – údaje rok 2015, ostatní H1 2016.</w:t>
      </w: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noProof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351AB6" w:rsidRDefault="00742005" w:rsidP="00A81750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723900" y="17145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428800" cy="3290400"/>
            <wp:effectExtent l="0" t="0" r="635" b="571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eslicí plátno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0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AA3" w:rsidRDefault="00EB5AA3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A81750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91F39" w:rsidRDefault="00191F39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4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5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D7" w:rsidRDefault="006D37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D7" w:rsidRDefault="006D37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D7" w:rsidRDefault="006D37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D7" w:rsidRDefault="006D37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4AFB2CD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191F39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6D37D7">
      <w:rPr>
        <w:color w:val="17365D"/>
        <w:sz w:val="30"/>
        <w:szCs w:val="30"/>
      </w:rPr>
      <w:t>9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EB5042">
      <w:rPr>
        <w:color w:val="17365D"/>
        <w:sz w:val="30"/>
        <w:szCs w:val="30"/>
      </w:rPr>
      <w:t>9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D7" w:rsidRDefault="006D37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0CC4"/>
    <w:rsid w:val="00091E8A"/>
    <w:rsid w:val="00093A32"/>
    <w:rsid w:val="000A0381"/>
    <w:rsid w:val="000A2C12"/>
    <w:rsid w:val="000A555C"/>
    <w:rsid w:val="000B1F3B"/>
    <w:rsid w:val="000B382C"/>
    <w:rsid w:val="000B696E"/>
    <w:rsid w:val="000C093A"/>
    <w:rsid w:val="000C111A"/>
    <w:rsid w:val="000C1853"/>
    <w:rsid w:val="000C392E"/>
    <w:rsid w:val="000C4380"/>
    <w:rsid w:val="000C61A9"/>
    <w:rsid w:val="000D0B58"/>
    <w:rsid w:val="000D2CE8"/>
    <w:rsid w:val="000D3DC9"/>
    <w:rsid w:val="000D67EC"/>
    <w:rsid w:val="000D6F5E"/>
    <w:rsid w:val="000D7AAD"/>
    <w:rsid w:val="000F63E8"/>
    <w:rsid w:val="000F76D9"/>
    <w:rsid w:val="0010798A"/>
    <w:rsid w:val="0011263C"/>
    <w:rsid w:val="00121D08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62B"/>
    <w:rsid w:val="00181963"/>
    <w:rsid w:val="00182A74"/>
    <w:rsid w:val="00182F69"/>
    <w:rsid w:val="001837BC"/>
    <w:rsid w:val="001839E1"/>
    <w:rsid w:val="00184AA4"/>
    <w:rsid w:val="00191F39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2550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073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57663"/>
    <w:rsid w:val="00261752"/>
    <w:rsid w:val="00265E94"/>
    <w:rsid w:val="002769EC"/>
    <w:rsid w:val="00276E0B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3300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9FF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37386"/>
    <w:rsid w:val="00343FF8"/>
    <w:rsid w:val="00344915"/>
    <w:rsid w:val="00346D31"/>
    <w:rsid w:val="003518E2"/>
    <w:rsid w:val="00351AB6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33CE"/>
    <w:rsid w:val="005C710A"/>
    <w:rsid w:val="005D2C5A"/>
    <w:rsid w:val="005D4686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A5A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7D7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005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E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1F92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0BCA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588A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750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48C2"/>
    <w:rsid w:val="00D05C00"/>
    <w:rsid w:val="00D1309B"/>
    <w:rsid w:val="00D13CF0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21DA"/>
    <w:rsid w:val="00DC6811"/>
    <w:rsid w:val="00DD052D"/>
    <w:rsid w:val="00DD2953"/>
    <w:rsid w:val="00DD3271"/>
    <w:rsid w:val="00DD4924"/>
    <w:rsid w:val="00DE0DEB"/>
    <w:rsid w:val="00DE4114"/>
    <w:rsid w:val="00DE5CD3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12E8"/>
    <w:rsid w:val="00E41DCD"/>
    <w:rsid w:val="00E442D7"/>
    <w:rsid w:val="00E444F3"/>
    <w:rsid w:val="00E51C0E"/>
    <w:rsid w:val="00E652A9"/>
    <w:rsid w:val="00E672CE"/>
    <w:rsid w:val="00E6746A"/>
    <w:rsid w:val="00E6755F"/>
    <w:rsid w:val="00E741CF"/>
    <w:rsid w:val="00E830CF"/>
    <w:rsid w:val="00E84B54"/>
    <w:rsid w:val="00E875C9"/>
    <w:rsid w:val="00E941F5"/>
    <w:rsid w:val="00E97083"/>
    <w:rsid w:val="00EA1030"/>
    <w:rsid w:val="00EA4FF3"/>
    <w:rsid w:val="00EA5CEE"/>
    <w:rsid w:val="00EA79D5"/>
    <w:rsid w:val="00EB00C7"/>
    <w:rsid w:val="00EB04D3"/>
    <w:rsid w:val="00EB2BBE"/>
    <w:rsid w:val="00EB5042"/>
    <w:rsid w:val="00EB565C"/>
    <w:rsid w:val="00EB5AA3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109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emelka\AppData\Local\Temp\www.central-group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media@central-group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central-group.cz/proc-central-grou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entral-group.cz/tiskove-zprav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9F24-1A0C-49B3-89CF-F9C81A36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5</cp:revision>
  <cp:lastPrinted>2016-09-21T06:57:00Z</cp:lastPrinted>
  <dcterms:created xsi:type="dcterms:W3CDTF">2016-09-23T12:20:00Z</dcterms:created>
  <dcterms:modified xsi:type="dcterms:W3CDTF">2016-09-26T13:57:00Z</dcterms:modified>
</cp:coreProperties>
</file>