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CFE" w:rsidRDefault="00682CFE" w:rsidP="00682CFE">
      <w:pPr>
        <w:jc w:val="both"/>
        <w:rPr>
          <w:rFonts w:ascii="Cambria" w:hAnsi="Cambria"/>
        </w:rPr>
      </w:pPr>
      <w:bookmarkStart w:id="0" w:name="_Hlk479150880"/>
      <w:r w:rsidRPr="00682CFE">
        <w:rPr>
          <w:rFonts w:ascii="Arial Black" w:hAnsi="Arial Black"/>
          <w:sz w:val="28"/>
          <w:szCs w:val="28"/>
        </w:rPr>
        <w:t xml:space="preserve">Památkový zákon může zkomplikovat stavební záměry </w:t>
      </w:r>
    </w:p>
    <w:p w:rsidR="00682CFE" w:rsidRPr="00682CFE" w:rsidRDefault="00682CFE" w:rsidP="00682CFE">
      <w:pPr>
        <w:jc w:val="both"/>
        <w:rPr>
          <w:rFonts w:ascii="Arial" w:hAnsi="Arial" w:cs="Arial"/>
          <w:b/>
        </w:rPr>
      </w:pPr>
      <w:r w:rsidRPr="00682CFE">
        <w:rPr>
          <w:rFonts w:ascii="Arial" w:hAnsi="Arial" w:cs="Arial"/>
          <w:i/>
        </w:rPr>
        <w:t>Praha, 12. 7. 2017 –</w:t>
      </w:r>
      <w:r>
        <w:rPr>
          <w:rFonts w:ascii="Arial" w:hAnsi="Arial" w:cs="Arial"/>
        </w:rPr>
        <w:t xml:space="preserve"> </w:t>
      </w:r>
      <w:r w:rsidRPr="00682CFE">
        <w:rPr>
          <w:rFonts w:ascii="Arial" w:hAnsi="Arial" w:cs="Arial"/>
          <w:b/>
        </w:rPr>
        <w:t xml:space="preserve">Poslanci začnou dnes projednávat nový zákon o ochraně památkového fondu, který by mohl zásadním způsobem zkomplikovat už tak dost přiškrcený rozvoj měst. K zákonu, který vyvolal nevoli </w:t>
      </w:r>
      <w:r w:rsidR="00C07F21">
        <w:rPr>
          <w:rFonts w:ascii="Arial" w:hAnsi="Arial" w:cs="Arial"/>
          <w:b/>
        </w:rPr>
        <w:t>dokonce i části odborné veřejnosti</w:t>
      </w:r>
      <w:r w:rsidRPr="00682CFE">
        <w:rPr>
          <w:rFonts w:ascii="Arial" w:hAnsi="Arial" w:cs="Arial"/>
          <w:b/>
        </w:rPr>
        <w:t xml:space="preserve">, se sešlo </w:t>
      </w:r>
      <w:r w:rsidR="00C07F21">
        <w:rPr>
          <w:rFonts w:ascii="Arial" w:hAnsi="Arial" w:cs="Arial"/>
          <w:b/>
        </w:rPr>
        <w:t>53</w:t>
      </w:r>
      <w:r w:rsidRPr="00682CFE">
        <w:rPr>
          <w:rFonts w:ascii="Arial" w:hAnsi="Arial" w:cs="Arial"/>
          <w:b/>
        </w:rPr>
        <w:t xml:space="preserve"> pozměňovacích </w:t>
      </w:r>
      <w:r w:rsidR="008672CA">
        <w:rPr>
          <w:rFonts w:ascii="Arial" w:hAnsi="Arial" w:cs="Arial"/>
          <w:b/>
        </w:rPr>
        <w:t>návrhů</w:t>
      </w:r>
      <w:r w:rsidRPr="00682CFE">
        <w:rPr>
          <w:rFonts w:ascii="Arial" w:hAnsi="Arial" w:cs="Arial"/>
          <w:b/>
        </w:rPr>
        <w:t xml:space="preserve">, některé z nich by ale napáchaly přenesením rozhodování na laiky bez odborné erudice více škody než užitku. Je jím nový institut památky místního významu a postavení spolků, nadací nebo obecně prospěšných společností jako účastníků v řízení týkajících se ochrany architektonického dědictví. Shodli se na tom odborníci u kulatého stolu, který k tomuto tématu uspořádala společnost </w:t>
      </w:r>
      <w:proofErr w:type="spellStart"/>
      <w:r w:rsidRPr="00682CFE">
        <w:rPr>
          <w:rFonts w:ascii="Arial" w:hAnsi="Arial" w:cs="Arial"/>
          <w:b/>
        </w:rPr>
        <w:t>Central</w:t>
      </w:r>
      <w:proofErr w:type="spellEnd"/>
      <w:r w:rsidRPr="00682CFE">
        <w:rPr>
          <w:rFonts w:ascii="Arial" w:hAnsi="Arial" w:cs="Arial"/>
          <w:b/>
        </w:rPr>
        <w:t xml:space="preserve"> Group. </w:t>
      </w:r>
    </w:p>
    <w:p w:rsidR="00682CFE" w:rsidRPr="00682CFE" w:rsidRDefault="00682CFE" w:rsidP="00682CFE">
      <w:pPr>
        <w:jc w:val="both"/>
        <w:rPr>
          <w:rFonts w:ascii="Arial" w:hAnsi="Arial" w:cs="Arial"/>
        </w:rPr>
      </w:pPr>
      <w:r w:rsidRPr="00682CFE">
        <w:rPr>
          <w:rFonts w:ascii="Arial" w:hAnsi="Arial" w:cs="Arial"/>
          <w:i/>
          <w:iCs/>
        </w:rPr>
        <w:t>„Státní správa disponuje rozsáhlým aparátem odborníků, kteří rozhodují o tom, co je a není kulturní památkou v širších souvislostech a mělo by to tak zůstat. Do tohoto rozhodování by neměli zasahovat laici, ať už se jedná o zastupitele měst a obcí nebo o zájmová sdružení,“</w:t>
      </w:r>
      <w:r w:rsidRPr="00682CFE">
        <w:rPr>
          <w:rFonts w:ascii="Arial" w:hAnsi="Arial" w:cs="Arial"/>
        </w:rPr>
        <w:t xml:space="preserve"> </w:t>
      </w:r>
      <w:r w:rsidR="008672CA">
        <w:rPr>
          <w:rFonts w:ascii="Arial" w:hAnsi="Arial" w:cs="Arial"/>
        </w:rPr>
        <w:t xml:space="preserve">řekla výkonná ředitelka </w:t>
      </w:r>
      <w:r w:rsidRPr="00682CFE">
        <w:rPr>
          <w:rFonts w:ascii="Arial" w:hAnsi="Arial" w:cs="Arial"/>
        </w:rPr>
        <w:t xml:space="preserve">společnosti </w:t>
      </w:r>
      <w:proofErr w:type="spellStart"/>
      <w:r w:rsidRPr="00682CFE">
        <w:rPr>
          <w:rFonts w:ascii="Arial" w:hAnsi="Arial" w:cs="Arial"/>
        </w:rPr>
        <w:t>Central</w:t>
      </w:r>
      <w:proofErr w:type="spellEnd"/>
      <w:r w:rsidRPr="00682CFE">
        <w:rPr>
          <w:rFonts w:ascii="Arial" w:hAnsi="Arial" w:cs="Arial"/>
        </w:rPr>
        <w:t xml:space="preserve"> Group</w:t>
      </w:r>
      <w:r w:rsidR="008672CA">
        <w:rPr>
          <w:rFonts w:ascii="Arial" w:hAnsi="Arial" w:cs="Arial"/>
        </w:rPr>
        <w:t xml:space="preserve"> Michaela Tomášková</w:t>
      </w:r>
      <w:r w:rsidRPr="00682CFE">
        <w:rPr>
          <w:rFonts w:ascii="Arial" w:hAnsi="Arial" w:cs="Arial"/>
        </w:rPr>
        <w:t xml:space="preserve">. Do rukou politiků volených na čtyři </w:t>
      </w:r>
      <w:r w:rsidR="008672CA">
        <w:rPr>
          <w:rFonts w:ascii="Arial" w:hAnsi="Arial" w:cs="Arial"/>
        </w:rPr>
        <w:t>ro</w:t>
      </w:r>
      <w:r w:rsidRPr="00682CFE">
        <w:rPr>
          <w:rFonts w:ascii="Arial" w:hAnsi="Arial" w:cs="Arial"/>
        </w:rPr>
        <w:t xml:space="preserve">ky by neměl být </w:t>
      </w:r>
      <w:r w:rsidR="00C07F21" w:rsidRPr="00C07F21">
        <w:rPr>
          <w:rStyle w:val="gmail-normaltextrun"/>
          <w:rFonts w:ascii="Arial" w:hAnsi="Arial" w:cs="Arial"/>
          <w:bCs/>
        </w:rPr>
        <w:t>podle ní zřízením institutu památky místního významu vkládán tak silný nástroj, který dokáže zablokovat rozvoj</w:t>
      </w:r>
      <w:bookmarkStart w:id="1" w:name="_GoBack"/>
      <w:bookmarkEnd w:id="1"/>
      <w:r w:rsidR="00722284">
        <w:rPr>
          <w:rFonts w:ascii="Arial" w:hAnsi="Arial" w:cs="Arial"/>
        </w:rPr>
        <w:t>. Občané, spolky</w:t>
      </w:r>
      <w:r w:rsidRPr="00682CFE">
        <w:rPr>
          <w:rFonts w:ascii="Arial" w:hAnsi="Arial" w:cs="Arial"/>
        </w:rPr>
        <w:t xml:space="preserve"> i samosprávy mají právo podávat podněty na prohlášení nemovitosti kulturní památkou, a také to dělají. Tím je dostatečně zajištěna účast veřejnosti na ochraně kulturního dědictví. </w:t>
      </w:r>
    </w:p>
    <w:p w:rsidR="00682CFE" w:rsidRPr="00682CFE" w:rsidRDefault="00682CFE" w:rsidP="00682CFE">
      <w:pPr>
        <w:jc w:val="both"/>
        <w:rPr>
          <w:rFonts w:ascii="Arial" w:hAnsi="Arial" w:cs="Arial"/>
        </w:rPr>
      </w:pPr>
      <w:r w:rsidRPr="00682CFE">
        <w:rPr>
          <w:rFonts w:ascii="Arial" w:hAnsi="Arial" w:cs="Arial"/>
          <w:i/>
          <w:iCs/>
        </w:rPr>
        <w:t xml:space="preserve">„Nový zákon o ochraně památkového fondu je ještě rigidnější než ten současný. Nový institut památky místního významu by umožnil komukoliv zablokovat cokoliv. Takový nástroj by mohl fungovat ve vyspělé společnosti založené na obecném konsensu, kde negativní postoj křičící menšiny nepřeváží názor většiny. A takovou společností my nejsme,“ </w:t>
      </w:r>
      <w:r w:rsidRPr="00682CFE">
        <w:rPr>
          <w:rFonts w:ascii="Arial" w:hAnsi="Arial" w:cs="Arial"/>
        </w:rPr>
        <w:t>podot</w:t>
      </w:r>
      <w:r w:rsidR="008672CA">
        <w:rPr>
          <w:rFonts w:ascii="Arial" w:hAnsi="Arial" w:cs="Arial"/>
        </w:rPr>
        <w:t>kl</w:t>
      </w:r>
      <w:r w:rsidRPr="00682CFE">
        <w:rPr>
          <w:rFonts w:ascii="Arial" w:hAnsi="Arial" w:cs="Arial"/>
        </w:rPr>
        <w:t xml:space="preserve"> architekt Josef Pleskot.  Obává se, že by naprosto lokální zájem mohl zabránit stavbě nadregionálního významu. </w:t>
      </w:r>
      <w:r w:rsidRPr="00682CFE">
        <w:rPr>
          <w:rFonts w:ascii="Arial" w:hAnsi="Arial" w:cs="Arial"/>
          <w:i/>
          <w:iCs/>
        </w:rPr>
        <w:t>„U prohlašování staveb kulturními památkami není jednoduché dospět k obecně přijímanému konsensu u odborníků, natož pak u laiků. Navíc by takový institut v rukou starosty a zastupitelů byl podle mého soudu příliš snadno zneužitelný</w:t>
      </w:r>
      <w:r w:rsidRPr="00682CFE">
        <w:rPr>
          <w:rFonts w:ascii="Arial" w:hAnsi="Arial" w:cs="Arial"/>
        </w:rPr>
        <w:t>,“ dod</w:t>
      </w:r>
      <w:r w:rsidR="008672CA">
        <w:rPr>
          <w:rFonts w:ascii="Arial" w:hAnsi="Arial" w:cs="Arial"/>
        </w:rPr>
        <w:t>al</w:t>
      </w:r>
      <w:r w:rsidRPr="00682CFE">
        <w:rPr>
          <w:rFonts w:ascii="Arial" w:hAnsi="Arial" w:cs="Arial"/>
        </w:rPr>
        <w:t xml:space="preserve"> Pleskot.  </w:t>
      </w:r>
    </w:p>
    <w:p w:rsidR="00682CFE" w:rsidRPr="00682CFE" w:rsidRDefault="00682CFE" w:rsidP="00682CFE">
      <w:pPr>
        <w:jc w:val="both"/>
        <w:rPr>
          <w:rFonts w:ascii="Arial" w:hAnsi="Arial" w:cs="Arial"/>
        </w:rPr>
      </w:pPr>
      <w:r w:rsidRPr="00682CFE">
        <w:rPr>
          <w:rFonts w:ascii="Arial" w:hAnsi="Arial" w:cs="Arial"/>
        </w:rPr>
        <w:t>Pozměňovací návrh na zavedení památky místního významu, kterou by se objekt stal pouze na základě usnesení místního zastupitelstva, také vůbec neřeší povinnosti a práva vlastníka takové památky. Patrně by byl až někdy v budoucnu upraven nějakým prováděcím předpisem ministerstva kultury, nebo by byl jeho výklad ponechán na libovůli zastupitelstev. Oboje by výrazně omezilo právní jistot</w:t>
      </w:r>
      <w:r w:rsidR="00722284">
        <w:rPr>
          <w:rFonts w:ascii="Arial" w:hAnsi="Arial" w:cs="Arial"/>
        </w:rPr>
        <w:t>u vlastníka takové nemovitosti.</w:t>
      </w:r>
    </w:p>
    <w:p w:rsidR="00682CFE" w:rsidRPr="00682CFE" w:rsidRDefault="00682CFE" w:rsidP="00682CFE">
      <w:pPr>
        <w:jc w:val="both"/>
        <w:rPr>
          <w:rFonts w:ascii="Arial" w:hAnsi="Arial" w:cs="Arial"/>
        </w:rPr>
      </w:pPr>
      <w:r w:rsidRPr="00682CFE">
        <w:rPr>
          <w:rFonts w:ascii="Arial" w:hAnsi="Arial" w:cs="Arial"/>
        </w:rPr>
        <w:t xml:space="preserve">Nový institut i postavení spolku jako účastníka řízení o prohlášení objektu kulturní památkou by se mohl stát i zbraní v konkurenčním boji i prostředkem, jak záměr v povolovacím procesu zdržet, přestože z věcného hlediska by byl takový postup zcela nesmyslný. S postavením účastníka řízení u spolků a místních samospráv nesouhlasí ani samotný předkladatel zákona – ministerstvo kultury. </w:t>
      </w:r>
    </w:p>
    <w:p w:rsidR="00682CFE" w:rsidRDefault="00682CFE" w:rsidP="00682CFE">
      <w:pPr>
        <w:jc w:val="both"/>
        <w:rPr>
          <w:rFonts w:ascii="Cambria" w:hAnsi="Cambria"/>
        </w:rPr>
      </w:pPr>
    </w:p>
    <w:p w:rsidR="00F67E4A" w:rsidRPr="00163DF0" w:rsidRDefault="00F67E4A" w:rsidP="0065030F">
      <w:pPr>
        <w:spacing w:after="0"/>
        <w:contextualSpacing/>
        <w:jc w:val="both"/>
        <w:rPr>
          <w:rFonts w:ascii="Arial" w:hAnsi="Arial" w:cs="Arial"/>
          <w:lang w:eastAsia="cs-CZ"/>
        </w:rPr>
      </w:pPr>
    </w:p>
    <w:bookmarkEnd w:id="0"/>
    <w:p w:rsidR="00A45E8F" w:rsidRDefault="00A45E8F" w:rsidP="00E3524D">
      <w:pPr>
        <w:spacing w:after="0"/>
        <w:contextualSpacing/>
        <w:jc w:val="both"/>
        <w:rPr>
          <w:rFonts w:ascii="Arial" w:hAnsi="Arial" w:cs="Arial"/>
          <w:color w:val="000000"/>
          <w:sz w:val="16"/>
          <w:szCs w:val="16"/>
          <w:lang w:eastAsia="cs-CZ"/>
        </w:rPr>
      </w:pPr>
    </w:p>
    <w:p w:rsidR="00DB05FC" w:rsidRDefault="00DB05FC" w:rsidP="00E3524D">
      <w:pPr>
        <w:spacing w:after="0"/>
        <w:contextualSpacing/>
        <w:jc w:val="both"/>
        <w:rPr>
          <w:rFonts w:ascii="Arial" w:hAnsi="Arial" w:cs="Arial"/>
          <w:color w:val="000000"/>
          <w:sz w:val="16"/>
          <w:szCs w:val="16"/>
          <w:lang w:eastAsia="cs-CZ"/>
        </w:rPr>
      </w:pPr>
    </w:p>
    <w:p w:rsidR="00DB05FC" w:rsidRDefault="00DB05FC" w:rsidP="00D418C2">
      <w:pPr>
        <w:spacing w:after="0"/>
        <w:contextualSpacing/>
        <w:jc w:val="center"/>
        <w:rPr>
          <w:rFonts w:ascii="Arial" w:hAnsi="Arial" w:cs="Arial"/>
          <w:color w:val="000000"/>
          <w:sz w:val="16"/>
          <w:szCs w:val="16"/>
          <w:lang w:eastAsia="cs-CZ"/>
        </w:rPr>
      </w:pPr>
    </w:p>
    <w:p w:rsidR="00D418C2" w:rsidRDefault="00D418C2" w:rsidP="00E3524D">
      <w:pPr>
        <w:spacing w:after="0"/>
        <w:contextualSpacing/>
        <w:jc w:val="both"/>
        <w:rPr>
          <w:rFonts w:ascii="Arial" w:hAnsi="Arial" w:cs="Arial"/>
          <w:color w:val="000000"/>
          <w:sz w:val="16"/>
          <w:szCs w:val="16"/>
          <w:lang w:eastAsia="cs-CZ"/>
        </w:rPr>
      </w:pPr>
    </w:p>
    <w:p w:rsidR="00DB05FC" w:rsidRDefault="00DB05FC" w:rsidP="00E3524D">
      <w:pPr>
        <w:spacing w:after="0"/>
        <w:contextualSpacing/>
        <w:jc w:val="both"/>
        <w:rPr>
          <w:rFonts w:ascii="Arial" w:hAnsi="Arial" w:cs="Arial"/>
          <w:color w:val="000000"/>
          <w:sz w:val="16"/>
          <w:szCs w:val="16"/>
          <w:lang w:eastAsia="cs-CZ"/>
        </w:rPr>
      </w:pPr>
    </w:p>
    <w:p w:rsidR="00DB05FC" w:rsidRDefault="00DB05FC" w:rsidP="00E3524D">
      <w:pPr>
        <w:spacing w:after="0"/>
        <w:contextualSpacing/>
        <w:jc w:val="both"/>
        <w:rPr>
          <w:rFonts w:ascii="Arial" w:hAnsi="Arial" w:cs="Arial"/>
          <w:color w:val="000000"/>
          <w:sz w:val="16"/>
          <w:szCs w:val="16"/>
          <w:lang w:eastAsia="cs-CZ"/>
        </w:rPr>
      </w:pPr>
    </w:p>
    <w:p w:rsidR="00DB05FC" w:rsidRDefault="00DB05FC" w:rsidP="00E3524D">
      <w:pPr>
        <w:spacing w:after="0"/>
        <w:contextualSpacing/>
        <w:jc w:val="both"/>
        <w:rPr>
          <w:rFonts w:ascii="Arial" w:hAnsi="Arial" w:cs="Arial"/>
          <w:color w:val="000000"/>
          <w:sz w:val="16"/>
          <w:szCs w:val="16"/>
          <w:lang w:eastAsia="cs-CZ"/>
        </w:rPr>
      </w:pPr>
    </w:p>
    <w:p w:rsidR="008672CA" w:rsidRDefault="008672CA" w:rsidP="00E3524D">
      <w:pPr>
        <w:spacing w:after="0"/>
        <w:contextualSpacing/>
        <w:jc w:val="both"/>
        <w:rPr>
          <w:rFonts w:ascii="Arial" w:hAnsi="Arial" w:cs="Arial"/>
          <w:color w:val="000000"/>
          <w:sz w:val="16"/>
          <w:szCs w:val="16"/>
          <w:lang w:eastAsia="cs-CZ"/>
        </w:rPr>
      </w:pPr>
    </w:p>
    <w:p w:rsidR="008672CA" w:rsidRDefault="008672CA" w:rsidP="00E3524D">
      <w:pPr>
        <w:spacing w:after="0"/>
        <w:contextualSpacing/>
        <w:jc w:val="both"/>
        <w:rPr>
          <w:rFonts w:ascii="Arial" w:hAnsi="Arial" w:cs="Arial"/>
          <w:color w:val="000000"/>
          <w:sz w:val="16"/>
          <w:szCs w:val="16"/>
          <w:lang w:eastAsia="cs-CZ"/>
        </w:rPr>
      </w:pPr>
    </w:p>
    <w:p w:rsidR="008672CA" w:rsidRDefault="008672CA" w:rsidP="00E3524D">
      <w:pPr>
        <w:spacing w:after="0"/>
        <w:contextualSpacing/>
        <w:jc w:val="both"/>
        <w:rPr>
          <w:rFonts w:ascii="Arial" w:hAnsi="Arial" w:cs="Arial"/>
          <w:color w:val="000000"/>
          <w:sz w:val="16"/>
          <w:szCs w:val="16"/>
          <w:lang w:eastAsia="cs-CZ"/>
        </w:rPr>
      </w:pPr>
    </w:p>
    <w:p w:rsidR="008672CA" w:rsidRDefault="008672CA" w:rsidP="00E3524D">
      <w:pPr>
        <w:spacing w:after="0"/>
        <w:contextualSpacing/>
        <w:jc w:val="both"/>
        <w:rPr>
          <w:rFonts w:ascii="Arial" w:hAnsi="Arial" w:cs="Arial"/>
          <w:color w:val="000000"/>
          <w:sz w:val="16"/>
          <w:szCs w:val="16"/>
          <w:lang w:eastAsia="cs-CZ"/>
        </w:rPr>
      </w:pPr>
    </w:p>
    <w:p w:rsidR="008672CA" w:rsidRDefault="008672CA" w:rsidP="00E3524D">
      <w:pPr>
        <w:spacing w:after="0"/>
        <w:contextualSpacing/>
        <w:jc w:val="both"/>
        <w:rPr>
          <w:rFonts w:ascii="Arial" w:hAnsi="Arial" w:cs="Arial"/>
          <w:color w:val="000000"/>
          <w:sz w:val="16"/>
          <w:szCs w:val="16"/>
          <w:lang w:eastAsia="cs-CZ"/>
        </w:rPr>
      </w:pPr>
    </w:p>
    <w:p w:rsidR="008672CA" w:rsidRDefault="008672CA" w:rsidP="00E3524D">
      <w:pPr>
        <w:spacing w:after="0"/>
        <w:contextualSpacing/>
        <w:jc w:val="both"/>
        <w:rPr>
          <w:rFonts w:ascii="Arial" w:hAnsi="Arial" w:cs="Arial"/>
          <w:color w:val="000000"/>
          <w:sz w:val="16"/>
          <w:szCs w:val="16"/>
          <w:lang w:eastAsia="cs-CZ"/>
        </w:rPr>
      </w:pPr>
    </w:p>
    <w:p w:rsidR="008672CA" w:rsidRDefault="008672CA" w:rsidP="00E3524D">
      <w:pPr>
        <w:spacing w:after="0"/>
        <w:contextualSpacing/>
        <w:jc w:val="both"/>
        <w:rPr>
          <w:rFonts w:ascii="Arial" w:hAnsi="Arial" w:cs="Arial"/>
          <w:color w:val="000000"/>
          <w:sz w:val="16"/>
          <w:szCs w:val="16"/>
          <w:lang w:eastAsia="cs-CZ"/>
        </w:rPr>
      </w:pPr>
    </w:p>
    <w:p w:rsidR="008672CA" w:rsidRDefault="008672CA" w:rsidP="00E3524D">
      <w:pPr>
        <w:spacing w:after="0"/>
        <w:contextualSpacing/>
        <w:jc w:val="both"/>
        <w:rPr>
          <w:rFonts w:ascii="Arial" w:hAnsi="Arial" w:cs="Arial"/>
          <w:color w:val="000000"/>
          <w:sz w:val="16"/>
          <w:szCs w:val="16"/>
          <w:lang w:eastAsia="cs-CZ"/>
        </w:rPr>
      </w:pPr>
    </w:p>
    <w:p w:rsidR="008672CA" w:rsidRDefault="008672CA" w:rsidP="00E3524D">
      <w:pPr>
        <w:spacing w:after="0"/>
        <w:contextualSpacing/>
        <w:jc w:val="both"/>
        <w:rPr>
          <w:rFonts w:ascii="Arial" w:hAnsi="Arial" w:cs="Arial"/>
          <w:color w:val="000000"/>
          <w:sz w:val="16"/>
          <w:szCs w:val="16"/>
          <w:lang w:eastAsia="cs-CZ"/>
        </w:rPr>
      </w:pPr>
    </w:p>
    <w:p w:rsidR="008672CA" w:rsidRDefault="008672CA" w:rsidP="00E3524D">
      <w:pPr>
        <w:spacing w:after="0"/>
        <w:contextualSpacing/>
        <w:jc w:val="both"/>
        <w:rPr>
          <w:rFonts w:ascii="Arial" w:hAnsi="Arial" w:cs="Arial"/>
          <w:color w:val="000000"/>
          <w:sz w:val="16"/>
          <w:szCs w:val="16"/>
          <w:lang w:eastAsia="cs-CZ"/>
        </w:rPr>
      </w:pPr>
    </w:p>
    <w:p w:rsidR="008672CA" w:rsidRDefault="008672CA" w:rsidP="00E3524D">
      <w:pPr>
        <w:spacing w:after="0"/>
        <w:contextualSpacing/>
        <w:jc w:val="both"/>
        <w:rPr>
          <w:rFonts w:ascii="Arial" w:hAnsi="Arial" w:cs="Arial"/>
          <w:color w:val="000000"/>
          <w:sz w:val="16"/>
          <w:szCs w:val="16"/>
          <w:lang w:eastAsia="cs-CZ"/>
        </w:rPr>
      </w:pPr>
    </w:p>
    <w:p w:rsidR="008672CA" w:rsidRDefault="008672CA" w:rsidP="00E3524D">
      <w:pPr>
        <w:spacing w:after="0"/>
        <w:contextualSpacing/>
        <w:jc w:val="both"/>
        <w:rPr>
          <w:rFonts w:ascii="Arial" w:hAnsi="Arial" w:cs="Arial"/>
          <w:color w:val="000000"/>
          <w:sz w:val="16"/>
          <w:szCs w:val="16"/>
          <w:lang w:eastAsia="cs-CZ"/>
        </w:rPr>
      </w:pPr>
    </w:p>
    <w:p w:rsidR="008672CA" w:rsidRDefault="008672CA" w:rsidP="00E3524D">
      <w:pPr>
        <w:spacing w:after="0"/>
        <w:contextualSpacing/>
        <w:jc w:val="both"/>
        <w:rPr>
          <w:rFonts w:ascii="Arial" w:hAnsi="Arial" w:cs="Arial"/>
          <w:color w:val="000000"/>
          <w:sz w:val="16"/>
          <w:szCs w:val="16"/>
          <w:lang w:eastAsia="cs-CZ"/>
        </w:rPr>
      </w:pPr>
    </w:p>
    <w:p w:rsidR="008672CA" w:rsidRDefault="008672CA" w:rsidP="00E3524D">
      <w:pPr>
        <w:spacing w:after="0"/>
        <w:contextualSpacing/>
        <w:jc w:val="both"/>
        <w:rPr>
          <w:rFonts w:ascii="Arial" w:hAnsi="Arial" w:cs="Arial"/>
          <w:color w:val="000000"/>
          <w:sz w:val="16"/>
          <w:szCs w:val="16"/>
          <w:lang w:eastAsia="cs-CZ"/>
        </w:rPr>
      </w:pPr>
    </w:p>
    <w:p w:rsidR="008672CA" w:rsidRDefault="008672CA" w:rsidP="00E3524D">
      <w:pPr>
        <w:spacing w:after="0"/>
        <w:contextualSpacing/>
        <w:jc w:val="both"/>
        <w:rPr>
          <w:rFonts w:ascii="Arial" w:hAnsi="Arial" w:cs="Arial"/>
          <w:color w:val="000000"/>
          <w:sz w:val="16"/>
          <w:szCs w:val="16"/>
          <w:lang w:eastAsia="cs-CZ"/>
        </w:rPr>
      </w:pPr>
    </w:p>
    <w:p w:rsidR="008672CA" w:rsidRDefault="008672CA" w:rsidP="00E3524D">
      <w:pPr>
        <w:spacing w:after="0"/>
        <w:contextualSpacing/>
        <w:jc w:val="both"/>
        <w:rPr>
          <w:rFonts w:ascii="Arial" w:hAnsi="Arial" w:cs="Arial"/>
          <w:color w:val="000000"/>
          <w:sz w:val="16"/>
          <w:szCs w:val="16"/>
          <w:lang w:eastAsia="cs-CZ"/>
        </w:rPr>
      </w:pPr>
    </w:p>
    <w:p w:rsidR="008672CA" w:rsidRDefault="008672CA" w:rsidP="00E3524D">
      <w:pPr>
        <w:spacing w:after="0"/>
        <w:contextualSpacing/>
        <w:jc w:val="both"/>
        <w:rPr>
          <w:rFonts w:ascii="Arial" w:hAnsi="Arial" w:cs="Arial"/>
          <w:color w:val="000000"/>
          <w:sz w:val="16"/>
          <w:szCs w:val="16"/>
          <w:lang w:eastAsia="cs-CZ"/>
        </w:rPr>
      </w:pPr>
    </w:p>
    <w:p w:rsidR="008672CA" w:rsidRDefault="008672CA" w:rsidP="00E3524D">
      <w:pPr>
        <w:spacing w:after="0"/>
        <w:contextualSpacing/>
        <w:jc w:val="both"/>
        <w:rPr>
          <w:rFonts w:ascii="Arial" w:hAnsi="Arial" w:cs="Arial"/>
          <w:color w:val="000000"/>
          <w:sz w:val="16"/>
          <w:szCs w:val="16"/>
          <w:lang w:eastAsia="cs-CZ"/>
        </w:rPr>
      </w:pPr>
    </w:p>
    <w:p w:rsidR="008672CA" w:rsidRDefault="008672CA" w:rsidP="00E3524D">
      <w:pPr>
        <w:spacing w:after="0"/>
        <w:contextualSpacing/>
        <w:jc w:val="both"/>
        <w:rPr>
          <w:rFonts w:ascii="Arial" w:hAnsi="Arial" w:cs="Arial"/>
          <w:color w:val="000000"/>
          <w:sz w:val="16"/>
          <w:szCs w:val="16"/>
          <w:lang w:eastAsia="cs-CZ"/>
        </w:rPr>
      </w:pPr>
    </w:p>
    <w:p w:rsidR="008672CA" w:rsidRDefault="008672CA" w:rsidP="00E3524D">
      <w:pPr>
        <w:spacing w:after="0"/>
        <w:contextualSpacing/>
        <w:jc w:val="both"/>
        <w:rPr>
          <w:rFonts w:ascii="Arial" w:hAnsi="Arial" w:cs="Arial"/>
          <w:color w:val="000000"/>
          <w:sz w:val="16"/>
          <w:szCs w:val="16"/>
          <w:lang w:eastAsia="cs-CZ"/>
        </w:rPr>
      </w:pPr>
    </w:p>
    <w:p w:rsidR="008672CA" w:rsidRDefault="008672CA" w:rsidP="00E3524D">
      <w:pPr>
        <w:spacing w:after="0"/>
        <w:contextualSpacing/>
        <w:jc w:val="both"/>
        <w:rPr>
          <w:rFonts w:ascii="Arial" w:hAnsi="Arial" w:cs="Arial"/>
          <w:color w:val="000000"/>
          <w:sz w:val="16"/>
          <w:szCs w:val="16"/>
          <w:lang w:eastAsia="cs-CZ"/>
        </w:rPr>
      </w:pPr>
    </w:p>
    <w:p w:rsidR="008672CA" w:rsidRDefault="008672CA" w:rsidP="00E3524D">
      <w:pPr>
        <w:spacing w:after="0"/>
        <w:contextualSpacing/>
        <w:jc w:val="both"/>
        <w:rPr>
          <w:rFonts w:ascii="Arial" w:hAnsi="Arial" w:cs="Arial"/>
          <w:color w:val="000000"/>
          <w:sz w:val="16"/>
          <w:szCs w:val="16"/>
          <w:lang w:eastAsia="cs-CZ"/>
        </w:rPr>
      </w:pPr>
    </w:p>
    <w:p w:rsidR="008672CA" w:rsidRDefault="008672CA" w:rsidP="00E3524D">
      <w:pPr>
        <w:spacing w:after="0"/>
        <w:contextualSpacing/>
        <w:jc w:val="both"/>
        <w:rPr>
          <w:rFonts w:ascii="Arial" w:hAnsi="Arial" w:cs="Arial"/>
          <w:color w:val="000000"/>
          <w:sz w:val="16"/>
          <w:szCs w:val="16"/>
          <w:lang w:eastAsia="cs-CZ"/>
        </w:rPr>
      </w:pPr>
    </w:p>
    <w:p w:rsidR="008672CA" w:rsidRDefault="008672CA" w:rsidP="00E3524D">
      <w:pPr>
        <w:spacing w:after="0"/>
        <w:contextualSpacing/>
        <w:jc w:val="both"/>
        <w:rPr>
          <w:rFonts w:ascii="Arial" w:hAnsi="Arial" w:cs="Arial"/>
          <w:color w:val="000000"/>
          <w:sz w:val="16"/>
          <w:szCs w:val="16"/>
          <w:lang w:eastAsia="cs-CZ"/>
        </w:rPr>
      </w:pPr>
    </w:p>
    <w:p w:rsidR="008672CA" w:rsidRDefault="008672CA" w:rsidP="00E3524D">
      <w:pPr>
        <w:spacing w:after="0"/>
        <w:contextualSpacing/>
        <w:jc w:val="both"/>
        <w:rPr>
          <w:rFonts w:ascii="Arial" w:hAnsi="Arial" w:cs="Arial"/>
          <w:color w:val="000000"/>
          <w:sz w:val="16"/>
          <w:szCs w:val="16"/>
          <w:lang w:eastAsia="cs-CZ"/>
        </w:rPr>
      </w:pPr>
    </w:p>
    <w:p w:rsidR="008672CA" w:rsidRDefault="008672CA" w:rsidP="00E3524D">
      <w:pPr>
        <w:spacing w:after="0"/>
        <w:contextualSpacing/>
        <w:jc w:val="both"/>
        <w:rPr>
          <w:rFonts w:ascii="Arial" w:hAnsi="Arial" w:cs="Arial"/>
          <w:color w:val="000000"/>
          <w:sz w:val="16"/>
          <w:szCs w:val="16"/>
          <w:lang w:eastAsia="cs-CZ"/>
        </w:rPr>
      </w:pPr>
    </w:p>
    <w:p w:rsidR="008672CA" w:rsidRDefault="008672CA" w:rsidP="00E3524D">
      <w:pPr>
        <w:spacing w:after="0"/>
        <w:contextualSpacing/>
        <w:jc w:val="both"/>
        <w:rPr>
          <w:rFonts w:ascii="Arial" w:hAnsi="Arial" w:cs="Arial"/>
          <w:color w:val="000000"/>
          <w:sz w:val="16"/>
          <w:szCs w:val="16"/>
          <w:lang w:eastAsia="cs-CZ"/>
        </w:rPr>
      </w:pPr>
    </w:p>
    <w:p w:rsidR="008672CA" w:rsidRDefault="008672CA" w:rsidP="00E3524D">
      <w:pPr>
        <w:spacing w:after="0"/>
        <w:contextualSpacing/>
        <w:jc w:val="both"/>
        <w:rPr>
          <w:rFonts w:ascii="Arial" w:hAnsi="Arial" w:cs="Arial"/>
          <w:color w:val="000000"/>
          <w:sz w:val="16"/>
          <w:szCs w:val="16"/>
          <w:lang w:eastAsia="cs-CZ"/>
        </w:rPr>
      </w:pPr>
    </w:p>
    <w:p w:rsidR="008672CA" w:rsidRDefault="008672CA" w:rsidP="00E3524D">
      <w:pPr>
        <w:spacing w:after="0"/>
        <w:contextualSpacing/>
        <w:jc w:val="both"/>
        <w:rPr>
          <w:rFonts w:ascii="Arial" w:hAnsi="Arial" w:cs="Arial"/>
          <w:color w:val="000000"/>
          <w:sz w:val="16"/>
          <w:szCs w:val="16"/>
          <w:lang w:eastAsia="cs-CZ"/>
        </w:rPr>
      </w:pPr>
    </w:p>
    <w:p w:rsidR="008672CA" w:rsidRDefault="008672CA" w:rsidP="00E3524D">
      <w:pPr>
        <w:spacing w:after="0"/>
        <w:contextualSpacing/>
        <w:jc w:val="both"/>
        <w:rPr>
          <w:rFonts w:ascii="Arial" w:hAnsi="Arial" w:cs="Arial"/>
          <w:color w:val="000000"/>
          <w:sz w:val="16"/>
          <w:szCs w:val="16"/>
          <w:lang w:eastAsia="cs-CZ"/>
        </w:rPr>
      </w:pPr>
    </w:p>
    <w:p w:rsidR="00DB05FC" w:rsidRDefault="00DB05FC" w:rsidP="00E3524D">
      <w:pPr>
        <w:spacing w:after="0"/>
        <w:contextualSpacing/>
        <w:jc w:val="both"/>
        <w:rPr>
          <w:rFonts w:ascii="Arial" w:hAnsi="Arial" w:cs="Arial"/>
          <w:color w:val="000000"/>
          <w:sz w:val="16"/>
          <w:szCs w:val="16"/>
          <w:lang w:eastAsia="cs-CZ"/>
        </w:rPr>
      </w:pPr>
    </w:p>
    <w:p w:rsidR="00A45E8F" w:rsidRDefault="00A45E8F" w:rsidP="00E3524D">
      <w:pPr>
        <w:spacing w:after="0"/>
        <w:contextualSpacing/>
        <w:jc w:val="both"/>
        <w:rPr>
          <w:rFonts w:ascii="Arial" w:hAnsi="Arial" w:cs="Arial"/>
          <w:color w:val="000000"/>
          <w:sz w:val="16"/>
          <w:szCs w:val="16"/>
          <w:lang w:eastAsia="cs-CZ"/>
        </w:rPr>
      </w:pPr>
    </w:p>
    <w:p w:rsidR="007B1C7A" w:rsidRDefault="007B1C7A" w:rsidP="00E3524D">
      <w:pPr>
        <w:pBdr>
          <w:top w:val="single" w:sz="4" w:space="1" w:color="auto"/>
        </w:pBdr>
        <w:autoSpaceDE w:val="0"/>
        <w:autoSpaceDN w:val="0"/>
        <w:adjustRightInd w:val="0"/>
        <w:spacing w:after="0" w:line="240" w:lineRule="auto"/>
        <w:jc w:val="both"/>
        <w:textAlignment w:val="center"/>
        <w:rPr>
          <w:rFonts w:ascii="Arial" w:hAnsi="Arial" w:cs="Arial"/>
          <w:color w:val="000000"/>
          <w:sz w:val="16"/>
          <w:szCs w:val="16"/>
          <w:lang w:eastAsia="cs-CZ"/>
        </w:rPr>
      </w:pPr>
    </w:p>
    <w:p w:rsidR="00E3524D" w:rsidRDefault="00E3524D" w:rsidP="00E3524D">
      <w:pPr>
        <w:pBdr>
          <w:top w:val="single" w:sz="4" w:space="1" w:color="auto"/>
        </w:pBdr>
        <w:autoSpaceDE w:val="0"/>
        <w:autoSpaceDN w:val="0"/>
        <w:adjustRightInd w:val="0"/>
        <w:spacing w:after="0" w:line="240" w:lineRule="auto"/>
        <w:jc w:val="both"/>
        <w:textAlignment w:val="center"/>
        <w:rPr>
          <w:rFonts w:ascii="Arial" w:hAnsi="Arial" w:cs="Arial"/>
          <w:color w:val="000000"/>
          <w:sz w:val="16"/>
          <w:szCs w:val="16"/>
          <w:lang w:eastAsia="cs-CZ"/>
        </w:rPr>
      </w:pPr>
      <w:r>
        <w:rPr>
          <w:rFonts w:ascii="Arial" w:hAnsi="Arial" w:cs="Arial"/>
          <w:color w:val="000000"/>
          <w:sz w:val="16"/>
          <w:szCs w:val="16"/>
          <w:lang w:eastAsia="cs-CZ"/>
        </w:rPr>
        <w:t xml:space="preserve">Pro více informací nás můžete kontaktovat na e-mail: </w:t>
      </w:r>
      <w:hyperlink r:id="rId8" w:history="1">
        <w:r>
          <w:rPr>
            <w:rStyle w:val="Hypertextovodkaz"/>
            <w:rFonts w:ascii="Arial" w:hAnsi="Arial" w:cs="Arial"/>
            <w:sz w:val="16"/>
            <w:szCs w:val="16"/>
            <w:lang w:eastAsia="cs-CZ"/>
          </w:rPr>
          <w:t>media@central-group.cz</w:t>
        </w:r>
      </w:hyperlink>
      <w:r>
        <w:rPr>
          <w:rFonts w:ascii="Arial" w:hAnsi="Arial" w:cs="Arial"/>
          <w:color w:val="000000"/>
          <w:sz w:val="16"/>
          <w:szCs w:val="16"/>
          <w:lang w:eastAsia="cs-CZ"/>
        </w:rPr>
        <w:t xml:space="preserve"> nebo telefonicky: Marcela Fialková – tisková mluvčí (+420 724 090 754), která může také zprostředkovat jednání s vedoucími pracovníky </w:t>
      </w:r>
      <w:proofErr w:type="spellStart"/>
      <w:r>
        <w:rPr>
          <w:rFonts w:ascii="Arial" w:hAnsi="Arial" w:cs="Arial"/>
          <w:color w:val="000000"/>
          <w:sz w:val="16"/>
          <w:szCs w:val="16"/>
          <w:lang w:eastAsia="cs-CZ"/>
        </w:rPr>
        <w:t>Central</w:t>
      </w:r>
      <w:proofErr w:type="spellEnd"/>
      <w:r>
        <w:rPr>
          <w:rFonts w:ascii="Arial" w:hAnsi="Arial" w:cs="Arial"/>
          <w:color w:val="000000"/>
          <w:sz w:val="16"/>
          <w:szCs w:val="16"/>
          <w:lang w:eastAsia="cs-CZ"/>
        </w:rPr>
        <w:t xml:space="preserve"> Group nebo jejich vyjádření. </w:t>
      </w:r>
      <w:r>
        <w:rPr>
          <w:rFonts w:ascii="Arial" w:hAnsi="Arial" w:cs="Arial"/>
          <w:sz w:val="16"/>
          <w:szCs w:val="16"/>
          <w:lang w:eastAsia="cs-CZ"/>
        </w:rPr>
        <w:t xml:space="preserve">Podrobné informace o společnosti </w:t>
      </w:r>
      <w:proofErr w:type="spellStart"/>
      <w:r>
        <w:rPr>
          <w:rFonts w:ascii="Arial" w:hAnsi="Arial" w:cs="Arial"/>
          <w:sz w:val="16"/>
          <w:szCs w:val="16"/>
          <w:lang w:eastAsia="cs-CZ"/>
        </w:rPr>
        <w:t>Central</w:t>
      </w:r>
      <w:proofErr w:type="spellEnd"/>
      <w:r>
        <w:rPr>
          <w:rFonts w:ascii="Arial" w:hAnsi="Arial" w:cs="Arial"/>
          <w:sz w:val="16"/>
          <w:szCs w:val="16"/>
          <w:lang w:eastAsia="cs-CZ"/>
        </w:rPr>
        <w:t xml:space="preserve"> Group a její nabídce naleznete na </w:t>
      </w:r>
      <w:hyperlink r:id="rId9" w:history="1">
        <w:r>
          <w:rPr>
            <w:rStyle w:val="Hypertextovodkaz"/>
            <w:rFonts w:ascii="Arial" w:hAnsi="Arial" w:cs="Arial"/>
            <w:sz w:val="16"/>
            <w:szCs w:val="16"/>
            <w:lang w:eastAsia="cs-CZ"/>
          </w:rPr>
          <w:t>www.central-group.cz</w:t>
        </w:r>
      </w:hyperlink>
      <w:r>
        <w:rPr>
          <w:rFonts w:ascii="Arial" w:hAnsi="Arial" w:cs="Arial"/>
          <w:sz w:val="16"/>
          <w:szCs w:val="16"/>
          <w:lang w:eastAsia="cs-CZ"/>
        </w:rPr>
        <w:t xml:space="preserve">, kde je také sekce </w:t>
      </w:r>
      <w:hyperlink r:id="rId10" w:history="1">
        <w:r>
          <w:rPr>
            <w:rStyle w:val="Hypertextovodkaz"/>
            <w:rFonts w:ascii="Arial" w:hAnsi="Arial" w:cs="Arial"/>
            <w:sz w:val="16"/>
            <w:szCs w:val="16"/>
            <w:lang w:eastAsia="cs-CZ"/>
          </w:rPr>
          <w:t>Pro média</w:t>
        </w:r>
      </w:hyperlink>
      <w:r>
        <w:rPr>
          <w:rFonts w:ascii="Arial" w:hAnsi="Arial" w:cs="Arial"/>
          <w:sz w:val="16"/>
          <w:szCs w:val="16"/>
          <w:lang w:eastAsia="cs-CZ"/>
        </w:rPr>
        <w:t xml:space="preserve"> a sekce </w:t>
      </w:r>
      <w:hyperlink r:id="rId11" w:history="1">
        <w:r>
          <w:rPr>
            <w:rStyle w:val="Hypertextovodkaz"/>
            <w:rFonts w:ascii="Arial" w:hAnsi="Arial" w:cs="Arial"/>
            <w:sz w:val="16"/>
            <w:szCs w:val="16"/>
            <w:lang w:eastAsia="cs-CZ"/>
          </w:rPr>
          <w:t>O</w:t>
        </w:r>
      </w:hyperlink>
      <w:r>
        <w:rPr>
          <w:rStyle w:val="Hypertextovodkaz"/>
          <w:rFonts w:ascii="Arial" w:hAnsi="Arial" w:cs="Arial"/>
          <w:sz w:val="16"/>
          <w:szCs w:val="16"/>
          <w:lang w:eastAsia="cs-CZ"/>
        </w:rPr>
        <w:t xml:space="preserve"> společnosti</w:t>
      </w:r>
      <w:r>
        <w:rPr>
          <w:rFonts w:ascii="Arial" w:hAnsi="Arial" w:cs="Arial"/>
          <w:sz w:val="16"/>
          <w:szCs w:val="16"/>
          <w:lang w:eastAsia="cs-CZ"/>
        </w:rPr>
        <w:t>.</w:t>
      </w:r>
    </w:p>
    <w:p w:rsidR="00E3524D" w:rsidRDefault="00E3524D" w:rsidP="00E3524D">
      <w:pPr>
        <w:autoSpaceDE w:val="0"/>
        <w:autoSpaceDN w:val="0"/>
        <w:adjustRightInd w:val="0"/>
        <w:spacing w:after="0" w:line="240" w:lineRule="auto"/>
        <w:jc w:val="both"/>
        <w:textAlignment w:val="center"/>
        <w:rPr>
          <w:rFonts w:ascii="Arial" w:hAnsi="Arial" w:cs="Arial"/>
          <w:color w:val="000000"/>
          <w:sz w:val="16"/>
          <w:szCs w:val="16"/>
          <w:lang w:eastAsia="cs-CZ"/>
        </w:rPr>
      </w:pPr>
    </w:p>
    <w:p w:rsidR="00E3524D" w:rsidRDefault="00E3524D" w:rsidP="00E3524D">
      <w:pPr>
        <w:spacing w:after="0" w:line="240" w:lineRule="auto"/>
        <w:jc w:val="both"/>
        <w:rPr>
          <w:rFonts w:ascii="Arial" w:hAnsi="Arial" w:cs="Arial"/>
          <w:sz w:val="16"/>
          <w:szCs w:val="16"/>
          <w:lang w:eastAsia="cs-CZ"/>
        </w:rPr>
      </w:pPr>
      <w:proofErr w:type="spellStart"/>
      <w:r>
        <w:rPr>
          <w:rFonts w:ascii="Arial" w:hAnsi="Arial" w:cs="Arial"/>
          <w:sz w:val="16"/>
          <w:szCs w:val="16"/>
          <w:lang w:eastAsia="cs-CZ"/>
        </w:rPr>
        <w:t>Central</w:t>
      </w:r>
      <w:proofErr w:type="spellEnd"/>
      <w:r>
        <w:rPr>
          <w:rFonts w:ascii="Arial" w:hAnsi="Arial" w:cs="Arial"/>
          <w:sz w:val="16"/>
          <w:szCs w:val="16"/>
          <w:lang w:eastAsia="cs-CZ"/>
        </w:rPr>
        <w:t xml:space="preserve"> Group je jednoznačně největším rezidenčním developerem a investorem nové bytové výstavby v České republice. Potvrzuje to i statistika prestižního mezinárodního magazínu CIJ (</w:t>
      </w:r>
      <w:proofErr w:type="spellStart"/>
      <w:r>
        <w:rPr>
          <w:rFonts w:ascii="Arial" w:hAnsi="Arial" w:cs="Arial"/>
          <w:sz w:val="16"/>
          <w:szCs w:val="16"/>
          <w:lang w:eastAsia="cs-CZ"/>
        </w:rPr>
        <w:t>Construction</w:t>
      </w:r>
      <w:proofErr w:type="spellEnd"/>
      <w:r>
        <w:rPr>
          <w:rFonts w:ascii="Arial" w:hAnsi="Arial" w:cs="Arial"/>
          <w:sz w:val="16"/>
          <w:szCs w:val="16"/>
          <w:lang w:eastAsia="cs-CZ"/>
        </w:rPr>
        <w:t xml:space="preserve"> &amp; </w:t>
      </w:r>
      <w:proofErr w:type="spellStart"/>
      <w:r>
        <w:rPr>
          <w:rFonts w:ascii="Arial" w:hAnsi="Arial" w:cs="Arial"/>
          <w:sz w:val="16"/>
          <w:szCs w:val="16"/>
          <w:lang w:eastAsia="cs-CZ"/>
        </w:rPr>
        <w:t>Investment</w:t>
      </w:r>
      <w:proofErr w:type="spellEnd"/>
      <w:r>
        <w:rPr>
          <w:rFonts w:ascii="Arial" w:hAnsi="Arial" w:cs="Arial"/>
          <w:sz w:val="16"/>
          <w:szCs w:val="16"/>
          <w:lang w:eastAsia="cs-CZ"/>
        </w:rPr>
        <w:t xml:space="preserve"> </w:t>
      </w:r>
      <w:proofErr w:type="spellStart"/>
      <w:r>
        <w:rPr>
          <w:rFonts w:ascii="Arial" w:hAnsi="Arial" w:cs="Arial"/>
          <w:sz w:val="16"/>
          <w:szCs w:val="16"/>
          <w:lang w:eastAsia="cs-CZ"/>
        </w:rPr>
        <w:t>Journal</w:t>
      </w:r>
      <w:proofErr w:type="spellEnd"/>
      <w:r>
        <w:rPr>
          <w:rFonts w:ascii="Arial" w:hAnsi="Arial" w:cs="Arial"/>
          <w:sz w:val="16"/>
          <w:szCs w:val="16"/>
          <w:lang w:eastAsia="cs-CZ"/>
        </w:rPr>
        <w:t>), který firmu zařadil mezi desítku největších rezidenčních developerů ve střední a východní Evropě. Za 2</w:t>
      </w:r>
      <w:r w:rsidR="00FE580C">
        <w:rPr>
          <w:rFonts w:ascii="Arial" w:hAnsi="Arial" w:cs="Arial"/>
          <w:sz w:val="16"/>
          <w:szCs w:val="16"/>
          <w:lang w:eastAsia="cs-CZ"/>
        </w:rPr>
        <w:t>3</w:t>
      </w:r>
      <w:r>
        <w:rPr>
          <w:rFonts w:ascii="Arial" w:hAnsi="Arial" w:cs="Arial"/>
          <w:sz w:val="16"/>
          <w:szCs w:val="16"/>
          <w:lang w:eastAsia="cs-CZ"/>
        </w:rPr>
        <w:t xml:space="preserve"> let svého působení firma dokončila již více než 1</w:t>
      </w:r>
      <w:r w:rsidR="005E05FE">
        <w:rPr>
          <w:rFonts w:ascii="Arial" w:hAnsi="Arial" w:cs="Arial"/>
          <w:sz w:val="16"/>
          <w:szCs w:val="16"/>
          <w:lang w:eastAsia="cs-CZ"/>
        </w:rPr>
        <w:t>51</w:t>
      </w:r>
      <w:r>
        <w:rPr>
          <w:rFonts w:ascii="Arial" w:hAnsi="Arial" w:cs="Arial"/>
          <w:sz w:val="16"/>
          <w:szCs w:val="16"/>
          <w:lang w:eastAsia="cs-CZ"/>
        </w:rPr>
        <w:t xml:space="preserve"> rezidenčních projektů a prodala více než 1</w:t>
      </w:r>
      <w:r w:rsidR="005E05FE">
        <w:rPr>
          <w:rFonts w:ascii="Arial" w:hAnsi="Arial" w:cs="Arial"/>
          <w:sz w:val="16"/>
          <w:szCs w:val="16"/>
          <w:lang w:eastAsia="cs-CZ"/>
        </w:rPr>
        <w:t>3</w:t>
      </w:r>
      <w:r>
        <w:rPr>
          <w:rFonts w:ascii="Arial" w:hAnsi="Arial" w:cs="Arial"/>
          <w:sz w:val="16"/>
          <w:szCs w:val="16"/>
          <w:lang w:eastAsia="cs-CZ"/>
        </w:rPr>
        <w:t xml:space="preserve">.000 nových bytů, domů a parcel. Na všechny své byty a rodinné domy poskytuje Garanci nejlepší ceny. To znamená, že pokud někdo najde srovnatelnou nemovitost s lepší cenou oproti nabídce </w:t>
      </w:r>
      <w:proofErr w:type="spellStart"/>
      <w:r>
        <w:rPr>
          <w:rFonts w:ascii="Arial" w:hAnsi="Arial" w:cs="Arial"/>
          <w:sz w:val="16"/>
          <w:szCs w:val="16"/>
          <w:lang w:eastAsia="cs-CZ"/>
        </w:rPr>
        <w:t>Central</w:t>
      </w:r>
      <w:proofErr w:type="spellEnd"/>
      <w:r>
        <w:rPr>
          <w:rFonts w:ascii="Arial" w:hAnsi="Arial" w:cs="Arial"/>
          <w:sz w:val="16"/>
          <w:szCs w:val="16"/>
          <w:lang w:eastAsia="cs-CZ"/>
        </w:rPr>
        <w:t xml:space="preserve"> Group, firma cenu dorovná a ještě přidá bonus ve výši 100.000 Kč.</w:t>
      </w:r>
    </w:p>
    <w:p w:rsidR="00E3524D" w:rsidRDefault="00E3524D" w:rsidP="00E3524D">
      <w:pPr>
        <w:spacing w:after="0" w:line="240" w:lineRule="auto"/>
        <w:jc w:val="both"/>
        <w:rPr>
          <w:rFonts w:ascii="Arial" w:hAnsi="Arial" w:cs="Arial"/>
          <w:sz w:val="16"/>
          <w:szCs w:val="16"/>
          <w:lang w:eastAsia="cs-CZ"/>
        </w:rPr>
      </w:pPr>
      <w:r>
        <w:rPr>
          <w:rFonts w:ascii="Arial" w:hAnsi="Arial" w:cs="Arial"/>
          <w:sz w:val="16"/>
          <w:szCs w:val="16"/>
          <w:lang w:eastAsia="cs-CZ"/>
        </w:rPr>
        <w:t xml:space="preserve">   </w:t>
      </w:r>
    </w:p>
    <w:p w:rsidR="00E3524D" w:rsidRDefault="00E3524D" w:rsidP="00E3524D">
      <w:pPr>
        <w:autoSpaceDE w:val="0"/>
        <w:autoSpaceDN w:val="0"/>
        <w:adjustRightInd w:val="0"/>
        <w:spacing w:after="0" w:line="240" w:lineRule="auto"/>
        <w:jc w:val="both"/>
        <w:textAlignment w:val="center"/>
        <w:rPr>
          <w:rFonts w:ascii="Arial" w:hAnsi="Arial" w:cs="Arial"/>
          <w:color w:val="000000"/>
          <w:sz w:val="16"/>
          <w:szCs w:val="16"/>
          <w:lang w:eastAsia="cs-CZ"/>
        </w:rPr>
      </w:pPr>
      <w:r>
        <w:rPr>
          <w:rFonts w:ascii="Arial" w:hAnsi="Arial" w:cs="Arial"/>
          <w:sz w:val="16"/>
          <w:szCs w:val="16"/>
          <w:lang w:eastAsia="cs-CZ"/>
        </w:rPr>
        <w:t xml:space="preserve">Společnost dlouhodobě vykazuje stabilní zisk, rostoucí podíl na trhu a pro svou činnost nepotřebuje žádný bankovní úvěr. Za dobu svého působení koncern </w:t>
      </w:r>
      <w:proofErr w:type="spellStart"/>
      <w:r>
        <w:rPr>
          <w:rFonts w:ascii="Arial" w:hAnsi="Arial" w:cs="Arial"/>
          <w:sz w:val="16"/>
          <w:szCs w:val="16"/>
          <w:lang w:eastAsia="cs-CZ"/>
        </w:rPr>
        <w:t>Central</w:t>
      </w:r>
      <w:proofErr w:type="spellEnd"/>
      <w:r>
        <w:rPr>
          <w:rFonts w:ascii="Arial" w:hAnsi="Arial" w:cs="Arial"/>
          <w:sz w:val="16"/>
          <w:szCs w:val="16"/>
          <w:lang w:eastAsia="cs-CZ"/>
        </w:rPr>
        <w:t xml:space="preserve"> Group uhradil českému státu jen na přímých daních již více než 1</w:t>
      </w:r>
      <w:r>
        <w:rPr>
          <w:rFonts w:ascii="Arial" w:hAnsi="Arial" w:cs="Arial"/>
          <w:b/>
          <w:sz w:val="16"/>
          <w:szCs w:val="16"/>
          <w:lang w:eastAsia="cs-CZ"/>
        </w:rPr>
        <w:t>,</w:t>
      </w:r>
      <w:r>
        <w:rPr>
          <w:rFonts w:ascii="Arial" w:hAnsi="Arial" w:cs="Arial"/>
          <w:sz w:val="16"/>
          <w:szCs w:val="16"/>
          <w:lang w:eastAsia="cs-CZ"/>
        </w:rPr>
        <w:t>7</w:t>
      </w:r>
      <w:r w:rsidR="00697086">
        <w:rPr>
          <w:rFonts w:ascii="Arial" w:hAnsi="Arial" w:cs="Arial"/>
          <w:sz w:val="16"/>
          <w:szCs w:val="16"/>
          <w:lang w:eastAsia="cs-CZ"/>
        </w:rPr>
        <w:t>5</w:t>
      </w:r>
      <w:r>
        <w:rPr>
          <w:rFonts w:ascii="Arial" w:hAnsi="Arial" w:cs="Arial"/>
          <w:sz w:val="16"/>
          <w:szCs w:val="16"/>
          <w:lang w:eastAsia="cs-CZ"/>
        </w:rPr>
        <w:t xml:space="preserve"> miliardy korun. </w:t>
      </w:r>
      <w:r>
        <w:rPr>
          <w:rFonts w:ascii="Arial" w:hAnsi="Arial" w:cs="Arial"/>
          <w:color w:val="000000"/>
          <w:sz w:val="16"/>
          <w:szCs w:val="16"/>
          <w:lang w:eastAsia="cs-CZ"/>
        </w:rPr>
        <w:t>Významné prostředky věnuje společnost také na obecně prospěšné účely (například na výsadbu zeleně nebo na realizaci veřejných komunikací a inženýrských sítí pro městské části a obce v mnoha desítkách milionů Kč ročně) a také na charitativní činnost (například Nadačnímu fondu pro zdraví dětí zřízenému ve prospěch Ústavu pro péči o matku a dítě v Praze 4 – Podolí).</w:t>
      </w:r>
    </w:p>
    <w:p w:rsidR="00E3524D" w:rsidRDefault="00E3524D" w:rsidP="00E3524D">
      <w:pPr>
        <w:autoSpaceDE w:val="0"/>
        <w:autoSpaceDN w:val="0"/>
        <w:adjustRightInd w:val="0"/>
        <w:spacing w:after="0" w:line="240" w:lineRule="auto"/>
        <w:jc w:val="both"/>
        <w:textAlignment w:val="center"/>
        <w:rPr>
          <w:rFonts w:ascii="Arial" w:hAnsi="Arial" w:cs="Arial"/>
          <w:color w:val="000000"/>
          <w:sz w:val="16"/>
          <w:szCs w:val="16"/>
          <w:lang w:eastAsia="cs-CZ"/>
        </w:rPr>
      </w:pPr>
    </w:p>
    <w:p w:rsidR="00053FF6" w:rsidRDefault="00A17A92" w:rsidP="001E56BE">
      <w:pPr>
        <w:spacing w:after="0" w:line="240" w:lineRule="auto"/>
        <w:jc w:val="both"/>
        <w:rPr>
          <w:rFonts w:ascii="Arial" w:hAnsi="Arial" w:cs="Arial"/>
          <w:lang w:eastAsia="cs-CZ"/>
        </w:rPr>
      </w:pPr>
      <w:proofErr w:type="spellStart"/>
      <w:r>
        <w:rPr>
          <w:rFonts w:ascii="Arial" w:hAnsi="Arial" w:cs="Arial"/>
          <w:sz w:val="16"/>
          <w:szCs w:val="16"/>
        </w:rPr>
        <w:t>Cent</w:t>
      </w:r>
      <w:r w:rsidR="00E3524D">
        <w:rPr>
          <w:rFonts w:ascii="Arial" w:hAnsi="Arial" w:cs="Arial"/>
          <w:sz w:val="16"/>
          <w:szCs w:val="16"/>
        </w:rPr>
        <w:t>ral</w:t>
      </w:r>
      <w:proofErr w:type="spellEnd"/>
      <w:r w:rsidR="00E3524D">
        <w:rPr>
          <w:rFonts w:ascii="Arial" w:hAnsi="Arial" w:cs="Arial"/>
          <w:sz w:val="16"/>
          <w:szCs w:val="16"/>
        </w:rPr>
        <w:t xml:space="preserve"> Group je nejen největším českým prodejcem nových bytů a domů, ale také nejaktivnějším investorem v rámci akvizic nových pozemků pro rezidenční výstavbu. V současné době má nakoupené a připravené pozemky pro více než 15.000 nových bytů a rodinných domů. Ty plánuje zařadit do prodeje v průběhu příštích </w:t>
      </w:r>
      <w:r w:rsidR="00145D58">
        <w:rPr>
          <w:rFonts w:ascii="Arial" w:hAnsi="Arial" w:cs="Arial"/>
          <w:sz w:val="16"/>
          <w:szCs w:val="16"/>
        </w:rPr>
        <w:t>deseti</w:t>
      </w:r>
      <w:r w:rsidR="00E3524D">
        <w:rPr>
          <w:rFonts w:ascii="Arial" w:hAnsi="Arial" w:cs="Arial"/>
          <w:sz w:val="16"/>
          <w:szCs w:val="16"/>
        </w:rPr>
        <w:t xml:space="preserve"> let. </w:t>
      </w:r>
      <w:proofErr w:type="spellStart"/>
      <w:r w:rsidR="00E3524D">
        <w:rPr>
          <w:rFonts w:ascii="Arial" w:hAnsi="Arial" w:cs="Arial"/>
          <w:sz w:val="16"/>
          <w:szCs w:val="16"/>
        </w:rPr>
        <w:t>Central</w:t>
      </w:r>
      <w:proofErr w:type="spellEnd"/>
      <w:r w:rsidR="00E3524D">
        <w:rPr>
          <w:rFonts w:ascii="Arial" w:hAnsi="Arial" w:cs="Arial"/>
          <w:sz w:val="16"/>
          <w:szCs w:val="16"/>
        </w:rPr>
        <w:t xml:space="preserve"> Group nadále intenzivně hledá a nakupuje další pozemky a brownfieldy v Praze pro výstavbu nových bytů a domů.   </w:t>
      </w:r>
    </w:p>
    <w:sectPr w:rsidR="00053FF6" w:rsidSect="00EB64B6">
      <w:headerReference w:type="default" r:id="rId12"/>
      <w:pgSz w:w="11906" w:h="16838"/>
      <w:pgMar w:top="26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8E2" w:rsidRDefault="003518E2" w:rsidP="00655B14">
      <w:pPr>
        <w:spacing w:after="0" w:line="240" w:lineRule="auto"/>
      </w:pPr>
      <w:r>
        <w:separator/>
      </w:r>
    </w:p>
  </w:endnote>
  <w:endnote w:type="continuationSeparator" w:id="0">
    <w:p w:rsidR="003518E2" w:rsidRDefault="003518E2" w:rsidP="0065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8E2" w:rsidRDefault="003518E2" w:rsidP="00655B14">
      <w:pPr>
        <w:spacing w:after="0" w:line="240" w:lineRule="auto"/>
      </w:pPr>
      <w:r>
        <w:separator/>
      </w:r>
    </w:p>
  </w:footnote>
  <w:footnote w:type="continuationSeparator" w:id="0">
    <w:p w:rsidR="003518E2" w:rsidRDefault="003518E2" w:rsidP="00655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14" w:rsidRPr="00D763B7" w:rsidRDefault="00655B14" w:rsidP="00655B14">
    <w:pPr>
      <w:pStyle w:val="nadpis"/>
      <w:spacing w:line="276" w:lineRule="auto"/>
      <w:rPr>
        <w:color w:val="17365D"/>
        <w:sz w:val="30"/>
        <w:szCs w:val="30"/>
      </w:rPr>
    </w:pPr>
    <w:r>
      <w:rPr>
        <w:noProof/>
        <w:sz w:val="30"/>
        <w:szCs w:val="30"/>
        <w:lang w:eastAsia="cs-CZ"/>
      </w:rPr>
      <mc:AlternateContent>
        <mc:Choice Requires="wps">
          <w:drawing>
            <wp:anchor distT="4294967291" distB="4294967291" distL="114300" distR="114300" simplePos="0" relativeHeight="251657216" behindDoc="0" locked="0" layoutInCell="1" allowOverlap="1" wp14:anchorId="4E8FE32D" wp14:editId="010B1E7A">
              <wp:simplePos x="0" y="0"/>
              <wp:positionH relativeFrom="column">
                <wp:posOffset>-635</wp:posOffset>
              </wp:positionH>
              <wp:positionV relativeFrom="paragraph">
                <wp:posOffset>292099</wp:posOffset>
              </wp:positionV>
              <wp:extent cx="4547870" cy="0"/>
              <wp:effectExtent l="0" t="0" r="24130" b="1905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7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1D2AD4" id="_x0000_t32" coordsize="21600,21600" o:spt="32" o:oned="t" path="m,l21600,21600e" filled="f">
              <v:path arrowok="t" fillok="f" o:connecttype="none"/>
              <o:lock v:ext="edit" shapetype="t"/>
            </v:shapetype>
            <v:shape id="Přímá spojnice se šipkou 1" o:spid="_x0000_s1026" type="#_x0000_t32" style="position:absolute;margin-left:-.05pt;margin-top:23pt;width:358.1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"/>
          </w:pict>
        </mc:Fallback>
      </mc:AlternateContent>
    </w:r>
    <w:r w:rsidRPr="00D763B7">
      <w:rPr>
        <w:rFonts w:ascii="Arial" w:hAnsi="Arial" w:cs="Arial"/>
        <w:b/>
        <w:noProof/>
        <w:sz w:val="30"/>
        <w:szCs w:val="30"/>
        <w:lang w:eastAsia="cs-CZ"/>
      </w:rPr>
      <w:drawing>
        <wp:anchor distT="0" distB="0" distL="114300" distR="114300" simplePos="0" relativeHeight="251663360" behindDoc="1" locked="0" layoutInCell="1" allowOverlap="1" wp14:anchorId="229CDBBB" wp14:editId="76A64B41">
          <wp:simplePos x="0" y="0"/>
          <wp:positionH relativeFrom="margin">
            <wp:align>right</wp:align>
          </wp:positionH>
          <wp:positionV relativeFrom="paragraph">
            <wp:posOffset>-300990</wp:posOffset>
          </wp:positionV>
          <wp:extent cx="1458595" cy="1398270"/>
          <wp:effectExtent l="0" t="0" r="8255" b="0"/>
          <wp:wrapNone/>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595" cy="1398270"/>
                  </a:xfrm>
                  <a:prstGeom prst="rect">
                    <a:avLst/>
                  </a:prstGeom>
                  <a:noFill/>
                  <a:ln>
                    <a:noFill/>
                  </a:ln>
                </pic:spPr>
              </pic:pic>
            </a:graphicData>
          </a:graphic>
        </wp:anchor>
      </w:drawing>
    </w:r>
    <w:r>
      <w:rPr>
        <w:color w:val="17365D"/>
        <w:sz w:val="30"/>
        <w:szCs w:val="30"/>
      </w:rPr>
      <w:t>TISKOVÁ ZPRÁVA</w:t>
    </w:r>
    <w:r w:rsidRPr="00D763B7">
      <w:rPr>
        <w:color w:val="17365D"/>
        <w:sz w:val="30"/>
        <w:szCs w:val="30"/>
      </w:rPr>
      <w:tab/>
    </w:r>
  </w:p>
  <w:p w:rsidR="00655B14" w:rsidRPr="00D763B7" w:rsidRDefault="008672CA" w:rsidP="00655B14">
    <w:pPr>
      <w:pStyle w:val="nadpis"/>
      <w:spacing w:line="276" w:lineRule="auto"/>
      <w:rPr>
        <w:color w:val="17365D"/>
        <w:sz w:val="30"/>
        <w:szCs w:val="30"/>
      </w:rPr>
    </w:pPr>
    <w:r>
      <w:rPr>
        <w:color w:val="17365D"/>
        <w:sz w:val="30"/>
        <w:szCs w:val="30"/>
      </w:rPr>
      <w:t>12</w:t>
    </w:r>
    <w:r w:rsidR="00633318">
      <w:rPr>
        <w:color w:val="17365D"/>
        <w:sz w:val="30"/>
        <w:szCs w:val="30"/>
      </w:rPr>
      <w:t>.</w:t>
    </w:r>
    <w:r w:rsidR="00827C89">
      <w:rPr>
        <w:color w:val="17365D"/>
        <w:sz w:val="30"/>
        <w:szCs w:val="30"/>
      </w:rPr>
      <w:t xml:space="preserve"> </w:t>
    </w:r>
    <w:r>
      <w:rPr>
        <w:color w:val="17365D"/>
        <w:sz w:val="30"/>
        <w:szCs w:val="30"/>
      </w:rPr>
      <w:t>7</w:t>
    </w:r>
    <w:r w:rsidR="00655B14">
      <w:rPr>
        <w:color w:val="17365D"/>
        <w:sz w:val="30"/>
        <w:szCs w:val="30"/>
      </w:rPr>
      <w:t>.</w:t>
    </w:r>
    <w:r w:rsidR="00827C89">
      <w:rPr>
        <w:color w:val="17365D"/>
        <w:sz w:val="30"/>
        <w:szCs w:val="30"/>
      </w:rPr>
      <w:t xml:space="preserve"> </w:t>
    </w:r>
    <w:r w:rsidR="00655B14">
      <w:rPr>
        <w:color w:val="17365D"/>
        <w:sz w:val="30"/>
        <w:szCs w:val="30"/>
      </w:rPr>
      <w:t>201</w:t>
    </w:r>
    <w:r w:rsidR="007B2F43">
      <w:rPr>
        <w:color w:val="17365D"/>
        <w:sz w:val="30"/>
        <w:szCs w:val="30"/>
      </w:rPr>
      <w:t>7</w:t>
    </w:r>
  </w:p>
  <w:p w:rsidR="00655B14" w:rsidRPr="00E25B7E" w:rsidRDefault="00655B14" w:rsidP="00655B14">
    <w:pPr>
      <w:spacing w:after="0"/>
      <w:rPr>
        <w:rFonts w:ascii="Arial Black" w:hAnsi="Arial Black" w:cs="Arial"/>
        <w:b/>
        <w:sz w:val="28"/>
        <w:szCs w:val="28"/>
      </w:rPr>
    </w:pPr>
  </w:p>
  <w:p w:rsidR="00655B14" w:rsidRDefault="00655B1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742F"/>
    <w:multiLevelType w:val="hybridMultilevel"/>
    <w:tmpl w:val="6180DB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746EA3"/>
    <w:multiLevelType w:val="hybridMultilevel"/>
    <w:tmpl w:val="2A404E64"/>
    <w:lvl w:ilvl="0" w:tplc="C5BA163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CDE19F6"/>
    <w:multiLevelType w:val="hybridMultilevel"/>
    <w:tmpl w:val="D20EEF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B060454"/>
    <w:multiLevelType w:val="hybridMultilevel"/>
    <w:tmpl w:val="D64016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703E418E"/>
    <w:multiLevelType w:val="hybridMultilevel"/>
    <w:tmpl w:val="46CA3F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56"/>
    <w:rsid w:val="000015E3"/>
    <w:rsid w:val="0000345B"/>
    <w:rsid w:val="0000781F"/>
    <w:rsid w:val="0002312D"/>
    <w:rsid w:val="00024764"/>
    <w:rsid w:val="000266CE"/>
    <w:rsid w:val="000267C4"/>
    <w:rsid w:val="0002687F"/>
    <w:rsid w:val="0003085D"/>
    <w:rsid w:val="000310FA"/>
    <w:rsid w:val="0003162C"/>
    <w:rsid w:val="000336D2"/>
    <w:rsid w:val="00034F4A"/>
    <w:rsid w:val="00036B56"/>
    <w:rsid w:val="00036D72"/>
    <w:rsid w:val="00042A08"/>
    <w:rsid w:val="000449DD"/>
    <w:rsid w:val="00047F3F"/>
    <w:rsid w:val="00051163"/>
    <w:rsid w:val="000512A9"/>
    <w:rsid w:val="00053FF6"/>
    <w:rsid w:val="000553D9"/>
    <w:rsid w:val="00057673"/>
    <w:rsid w:val="000702CA"/>
    <w:rsid w:val="0007119F"/>
    <w:rsid w:val="0007250E"/>
    <w:rsid w:val="00075196"/>
    <w:rsid w:val="00075EC3"/>
    <w:rsid w:val="000778E1"/>
    <w:rsid w:val="00077F37"/>
    <w:rsid w:val="00083452"/>
    <w:rsid w:val="00083BA8"/>
    <w:rsid w:val="0008492F"/>
    <w:rsid w:val="0008540C"/>
    <w:rsid w:val="000854B7"/>
    <w:rsid w:val="00085F81"/>
    <w:rsid w:val="000865A5"/>
    <w:rsid w:val="00087826"/>
    <w:rsid w:val="00091E8A"/>
    <w:rsid w:val="000A0381"/>
    <w:rsid w:val="000A2C12"/>
    <w:rsid w:val="000A555C"/>
    <w:rsid w:val="000B1F3B"/>
    <w:rsid w:val="000B259C"/>
    <w:rsid w:val="000C093A"/>
    <w:rsid w:val="000C111A"/>
    <w:rsid w:val="000C1853"/>
    <w:rsid w:val="000C392E"/>
    <w:rsid w:val="000C61A9"/>
    <w:rsid w:val="000D0B58"/>
    <w:rsid w:val="000D2CE8"/>
    <w:rsid w:val="000D3DC9"/>
    <w:rsid w:val="000D67EC"/>
    <w:rsid w:val="000D6F5E"/>
    <w:rsid w:val="000D7AAD"/>
    <w:rsid w:val="000F1B82"/>
    <w:rsid w:val="000F76D9"/>
    <w:rsid w:val="000F7DD9"/>
    <w:rsid w:val="0010798A"/>
    <w:rsid w:val="0011263C"/>
    <w:rsid w:val="0012269A"/>
    <w:rsid w:val="0012325C"/>
    <w:rsid w:val="001254FE"/>
    <w:rsid w:val="00126B39"/>
    <w:rsid w:val="00134324"/>
    <w:rsid w:val="00136B59"/>
    <w:rsid w:val="00136DD9"/>
    <w:rsid w:val="001374C1"/>
    <w:rsid w:val="00137D21"/>
    <w:rsid w:val="0014189D"/>
    <w:rsid w:val="00145D58"/>
    <w:rsid w:val="00147D32"/>
    <w:rsid w:val="0015386E"/>
    <w:rsid w:val="00154E05"/>
    <w:rsid w:val="00155FBC"/>
    <w:rsid w:val="00157F61"/>
    <w:rsid w:val="00160996"/>
    <w:rsid w:val="00163DF0"/>
    <w:rsid w:val="00167091"/>
    <w:rsid w:val="00167393"/>
    <w:rsid w:val="00167EA3"/>
    <w:rsid w:val="001709D1"/>
    <w:rsid w:val="00173480"/>
    <w:rsid w:val="00175BC6"/>
    <w:rsid w:val="00176DB2"/>
    <w:rsid w:val="00180DF0"/>
    <w:rsid w:val="00181963"/>
    <w:rsid w:val="00182A74"/>
    <w:rsid w:val="00182F69"/>
    <w:rsid w:val="001837BC"/>
    <w:rsid w:val="001839E1"/>
    <w:rsid w:val="00184AA4"/>
    <w:rsid w:val="001947DA"/>
    <w:rsid w:val="001975BF"/>
    <w:rsid w:val="001A0918"/>
    <w:rsid w:val="001A0E14"/>
    <w:rsid w:val="001A4934"/>
    <w:rsid w:val="001A60F5"/>
    <w:rsid w:val="001A6619"/>
    <w:rsid w:val="001B6C34"/>
    <w:rsid w:val="001B7101"/>
    <w:rsid w:val="001B7358"/>
    <w:rsid w:val="001C66CF"/>
    <w:rsid w:val="001C67C0"/>
    <w:rsid w:val="001C6D66"/>
    <w:rsid w:val="001D35BC"/>
    <w:rsid w:val="001D41E4"/>
    <w:rsid w:val="001D7759"/>
    <w:rsid w:val="001E14EF"/>
    <w:rsid w:val="001E1516"/>
    <w:rsid w:val="001E15A7"/>
    <w:rsid w:val="001E1A62"/>
    <w:rsid w:val="001E447B"/>
    <w:rsid w:val="001E56BE"/>
    <w:rsid w:val="001E5C33"/>
    <w:rsid w:val="001F0C11"/>
    <w:rsid w:val="001F3B75"/>
    <w:rsid w:val="001F5AAF"/>
    <w:rsid w:val="001F5F25"/>
    <w:rsid w:val="001F75D0"/>
    <w:rsid w:val="001F7B64"/>
    <w:rsid w:val="002024C8"/>
    <w:rsid w:val="002039FC"/>
    <w:rsid w:val="00205CE6"/>
    <w:rsid w:val="002112DE"/>
    <w:rsid w:val="0021271C"/>
    <w:rsid w:val="00214B9A"/>
    <w:rsid w:val="0022029B"/>
    <w:rsid w:val="002321C8"/>
    <w:rsid w:val="00234852"/>
    <w:rsid w:val="00235253"/>
    <w:rsid w:val="00237A96"/>
    <w:rsid w:val="002442D9"/>
    <w:rsid w:val="00244FB9"/>
    <w:rsid w:val="00253B9A"/>
    <w:rsid w:val="002543C3"/>
    <w:rsid w:val="00255584"/>
    <w:rsid w:val="00261752"/>
    <w:rsid w:val="00265E94"/>
    <w:rsid w:val="00272534"/>
    <w:rsid w:val="00276109"/>
    <w:rsid w:val="002769EC"/>
    <w:rsid w:val="002802F5"/>
    <w:rsid w:val="00282554"/>
    <w:rsid w:val="00283463"/>
    <w:rsid w:val="0028544B"/>
    <w:rsid w:val="002910B2"/>
    <w:rsid w:val="002A09C6"/>
    <w:rsid w:val="002A1D9E"/>
    <w:rsid w:val="002A355F"/>
    <w:rsid w:val="002A5494"/>
    <w:rsid w:val="002B22EC"/>
    <w:rsid w:val="002B2E77"/>
    <w:rsid w:val="002B34A2"/>
    <w:rsid w:val="002C0221"/>
    <w:rsid w:val="002C100F"/>
    <w:rsid w:val="002C4DCA"/>
    <w:rsid w:val="002C53C3"/>
    <w:rsid w:val="002C5688"/>
    <w:rsid w:val="002D082D"/>
    <w:rsid w:val="002D2EE1"/>
    <w:rsid w:val="002D61ED"/>
    <w:rsid w:val="002E04AA"/>
    <w:rsid w:val="002E128D"/>
    <w:rsid w:val="002E69D8"/>
    <w:rsid w:val="002E7D8B"/>
    <w:rsid w:val="002F02F6"/>
    <w:rsid w:val="002F3BBF"/>
    <w:rsid w:val="002F3C78"/>
    <w:rsid w:val="002F696E"/>
    <w:rsid w:val="00310056"/>
    <w:rsid w:val="003115D8"/>
    <w:rsid w:val="0031568A"/>
    <w:rsid w:val="00316A88"/>
    <w:rsid w:val="0031761C"/>
    <w:rsid w:val="00320B75"/>
    <w:rsid w:val="0032321E"/>
    <w:rsid w:val="00333809"/>
    <w:rsid w:val="003344E8"/>
    <w:rsid w:val="003366AE"/>
    <w:rsid w:val="0034284D"/>
    <w:rsid w:val="00343FF8"/>
    <w:rsid w:val="00344915"/>
    <w:rsid w:val="003518E2"/>
    <w:rsid w:val="00354906"/>
    <w:rsid w:val="00356DEF"/>
    <w:rsid w:val="003629D5"/>
    <w:rsid w:val="00364E18"/>
    <w:rsid w:val="0036643F"/>
    <w:rsid w:val="0036769C"/>
    <w:rsid w:val="003722A2"/>
    <w:rsid w:val="00372899"/>
    <w:rsid w:val="00377C0F"/>
    <w:rsid w:val="00380E96"/>
    <w:rsid w:val="0038164F"/>
    <w:rsid w:val="00390D9B"/>
    <w:rsid w:val="00393588"/>
    <w:rsid w:val="003973E3"/>
    <w:rsid w:val="003975FB"/>
    <w:rsid w:val="003A4846"/>
    <w:rsid w:val="003A4E1B"/>
    <w:rsid w:val="003A74FB"/>
    <w:rsid w:val="003B0921"/>
    <w:rsid w:val="003B0B39"/>
    <w:rsid w:val="003B20BE"/>
    <w:rsid w:val="003B2626"/>
    <w:rsid w:val="003B669D"/>
    <w:rsid w:val="003C4264"/>
    <w:rsid w:val="003E131F"/>
    <w:rsid w:val="003E1A52"/>
    <w:rsid w:val="003E25B5"/>
    <w:rsid w:val="003E3DDE"/>
    <w:rsid w:val="003E3EEE"/>
    <w:rsid w:val="003E4FDA"/>
    <w:rsid w:val="003E5DEB"/>
    <w:rsid w:val="003E6D06"/>
    <w:rsid w:val="003E75A1"/>
    <w:rsid w:val="003F1BE3"/>
    <w:rsid w:val="003F4A3F"/>
    <w:rsid w:val="00404882"/>
    <w:rsid w:val="00404AE7"/>
    <w:rsid w:val="004065D6"/>
    <w:rsid w:val="00407C3A"/>
    <w:rsid w:val="00407D1B"/>
    <w:rsid w:val="0041092C"/>
    <w:rsid w:val="00411ECF"/>
    <w:rsid w:val="00412DAD"/>
    <w:rsid w:val="00415AF5"/>
    <w:rsid w:val="00416096"/>
    <w:rsid w:val="0042143D"/>
    <w:rsid w:val="00423B06"/>
    <w:rsid w:val="00424257"/>
    <w:rsid w:val="00425B70"/>
    <w:rsid w:val="004267CA"/>
    <w:rsid w:val="004269C0"/>
    <w:rsid w:val="0043290F"/>
    <w:rsid w:val="0045189F"/>
    <w:rsid w:val="00457B53"/>
    <w:rsid w:val="00463C79"/>
    <w:rsid w:val="004669A9"/>
    <w:rsid w:val="00470BAB"/>
    <w:rsid w:val="00474F5D"/>
    <w:rsid w:val="004755AC"/>
    <w:rsid w:val="00483217"/>
    <w:rsid w:val="00487B16"/>
    <w:rsid w:val="00490A3A"/>
    <w:rsid w:val="00490FEF"/>
    <w:rsid w:val="00491B22"/>
    <w:rsid w:val="00494878"/>
    <w:rsid w:val="004952C9"/>
    <w:rsid w:val="0049638C"/>
    <w:rsid w:val="00496B6A"/>
    <w:rsid w:val="004A1CF9"/>
    <w:rsid w:val="004A5423"/>
    <w:rsid w:val="004B31B4"/>
    <w:rsid w:val="004B7B91"/>
    <w:rsid w:val="004C0A81"/>
    <w:rsid w:val="004C68D5"/>
    <w:rsid w:val="004D14BF"/>
    <w:rsid w:val="004D230C"/>
    <w:rsid w:val="004D3EFE"/>
    <w:rsid w:val="004D6F71"/>
    <w:rsid w:val="004D718C"/>
    <w:rsid w:val="004E48FD"/>
    <w:rsid w:val="004E53EE"/>
    <w:rsid w:val="004F1830"/>
    <w:rsid w:val="004F4589"/>
    <w:rsid w:val="0050068F"/>
    <w:rsid w:val="005063E2"/>
    <w:rsid w:val="00506D83"/>
    <w:rsid w:val="00506E60"/>
    <w:rsid w:val="005071FB"/>
    <w:rsid w:val="00516528"/>
    <w:rsid w:val="005207A4"/>
    <w:rsid w:val="0052137F"/>
    <w:rsid w:val="005226E6"/>
    <w:rsid w:val="00522A3F"/>
    <w:rsid w:val="00525388"/>
    <w:rsid w:val="00525770"/>
    <w:rsid w:val="00526B27"/>
    <w:rsid w:val="00530881"/>
    <w:rsid w:val="00532D97"/>
    <w:rsid w:val="00534219"/>
    <w:rsid w:val="00536342"/>
    <w:rsid w:val="005405D8"/>
    <w:rsid w:val="00541CA7"/>
    <w:rsid w:val="00542901"/>
    <w:rsid w:val="00542996"/>
    <w:rsid w:val="00543480"/>
    <w:rsid w:val="00543E13"/>
    <w:rsid w:val="005477C0"/>
    <w:rsid w:val="00560668"/>
    <w:rsid w:val="00563B73"/>
    <w:rsid w:val="00564E82"/>
    <w:rsid w:val="00567B05"/>
    <w:rsid w:val="00567FCC"/>
    <w:rsid w:val="00573A57"/>
    <w:rsid w:val="00574AB5"/>
    <w:rsid w:val="00575350"/>
    <w:rsid w:val="00575AC0"/>
    <w:rsid w:val="00575DE9"/>
    <w:rsid w:val="00582D61"/>
    <w:rsid w:val="005A0735"/>
    <w:rsid w:val="005A1046"/>
    <w:rsid w:val="005A33B1"/>
    <w:rsid w:val="005A41FB"/>
    <w:rsid w:val="005A6A33"/>
    <w:rsid w:val="005B5C23"/>
    <w:rsid w:val="005B681C"/>
    <w:rsid w:val="005C4CF0"/>
    <w:rsid w:val="005C58EE"/>
    <w:rsid w:val="005C710A"/>
    <w:rsid w:val="005D029C"/>
    <w:rsid w:val="005E0538"/>
    <w:rsid w:val="005E05FE"/>
    <w:rsid w:val="005E2124"/>
    <w:rsid w:val="005F5002"/>
    <w:rsid w:val="005F730C"/>
    <w:rsid w:val="00603D66"/>
    <w:rsid w:val="00605851"/>
    <w:rsid w:val="00605F5F"/>
    <w:rsid w:val="006113F4"/>
    <w:rsid w:val="0061229B"/>
    <w:rsid w:val="00612999"/>
    <w:rsid w:val="00612D3F"/>
    <w:rsid w:val="00612F63"/>
    <w:rsid w:val="00613CA5"/>
    <w:rsid w:val="00613DF6"/>
    <w:rsid w:val="00613E4C"/>
    <w:rsid w:val="006148ED"/>
    <w:rsid w:val="00615AC2"/>
    <w:rsid w:val="00617D67"/>
    <w:rsid w:val="00621B9E"/>
    <w:rsid w:val="0062361C"/>
    <w:rsid w:val="00623642"/>
    <w:rsid w:val="00623B37"/>
    <w:rsid w:val="00624443"/>
    <w:rsid w:val="006278BF"/>
    <w:rsid w:val="0063062D"/>
    <w:rsid w:val="006331B3"/>
    <w:rsid w:val="00633318"/>
    <w:rsid w:val="0063429C"/>
    <w:rsid w:val="006362FC"/>
    <w:rsid w:val="00646F68"/>
    <w:rsid w:val="006474BF"/>
    <w:rsid w:val="0065030F"/>
    <w:rsid w:val="00650B15"/>
    <w:rsid w:val="00651898"/>
    <w:rsid w:val="00651991"/>
    <w:rsid w:val="00654307"/>
    <w:rsid w:val="00654F88"/>
    <w:rsid w:val="00655B14"/>
    <w:rsid w:val="00661906"/>
    <w:rsid w:val="00663DF4"/>
    <w:rsid w:val="006650D5"/>
    <w:rsid w:val="00670D2D"/>
    <w:rsid w:val="0067733C"/>
    <w:rsid w:val="00682CFE"/>
    <w:rsid w:val="006832C4"/>
    <w:rsid w:val="00686D43"/>
    <w:rsid w:val="006927C2"/>
    <w:rsid w:val="006934FA"/>
    <w:rsid w:val="00693888"/>
    <w:rsid w:val="00697086"/>
    <w:rsid w:val="006A0377"/>
    <w:rsid w:val="006A0D19"/>
    <w:rsid w:val="006A2453"/>
    <w:rsid w:val="006A447A"/>
    <w:rsid w:val="006A5D80"/>
    <w:rsid w:val="006B1D92"/>
    <w:rsid w:val="006B2607"/>
    <w:rsid w:val="006B3A10"/>
    <w:rsid w:val="006B4962"/>
    <w:rsid w:val="006B5D5E"/>
    <w:rsid w:val="006C2B65"/>
    <w:rsid w:val="006C4C61"/>
    <w:rsid w:val="006C522D"/>
    <w:rsid w:val="006C6EA1"/>
    <w:rsid w:val="006D0799"/>
    <w:rsid w:val="006D0F03"/>
    <w:rsid w:val="006D252D"/>
    <w:rsid w:val="006D26FA"/>
    <w:rsid w:val="006D3EB8"/>
    <w:rsid w:val="006D42D0"/>
    <w:rsid w:val="006D4ABB"/>
    <w:rsid w:val="006E3D61"/>
    <w:rsid w:val="006E6B4E"/>
    <w:rsid w:val="006E7A97"/>
    <w:rsid w:val="006F1257"/>
    <w:rsid w:val="00700072"/>
    <w:rsid w:val="007012BA"/>
    <w:rsid w:val="00702863"/>
    <w:rsid w:val="00705B5F"/>
    <w:rsid w:val="00705BC3"/>
    <w:rsid w:val="00705DA4"/>
    <w:rsid w:val="00706799"/>
    <w:rsid w:val="00706CFF"/>
    <w:rsid w:val="00707522"/>
    <w:rsid w:val="00710A01"/>
    <w:rsid w:val="00712980"/>
    <w:rsid w:val="00713ABB"/>
    <w:rsid w:val="00713D81"/>
    <w:rsid w:val="00713F01"/>
    <w:rsid w:val="007143C3"/>
    <w:rsid w:val="0071453E"/>
    <w:rsid w:val="00716A16"/>
    <w:rsid w:val="007173A6"/>
    <w:rsid w:val="00722284"/>
    <w:rsid w:val="007235A6"/>
    <w:rsid w:val="0072485F"/>
    <w:rsid w:val="0073295D"/>
    <w:rsid w:val="00734007"/>
    <w:rsid w:val="00740D42"/>
    <w:rsid w:val="00742739"/>
    <w:rsid w:val="00744AAE"/>
    <w:rsid w:val="00744F4A"/>
    <w:rsid w:val="007463F6"/>
    <w:rsid w:val="00751B24"/>
    <w:rsid w:val="00751CDA"/>
    <w:rsid w:val="0075276B"/>
    <w:rsid w:val="00754496"/>
    <w:rsid w:val="00755EC0"/>
    <w:rsid w:val="0075632D"/>
    <w:rsid w:val="00757D74"/>
    <w:rsid w:val="0076032C"/>
    <w:rsid w:val="00761239"/>
    <w:rsid w:val="00762126"/>
    <w:rsid w:val="00766334"/>
    <w:rsid w:val="00766721"/>
    <w:rsid w:val="00774E57"/>
    <w:rsid w:val="00781099"/>
    <w:rsid w:val="007832C3"/>
    <w:rsid w:val="0078361B"/>
    <w:rsid w:val="007842B4"/>
    <w:rsid w:val="007871D4"/>
    <w:rsid w:val="00787594"/>
    <w:rsid w:val="00790072"/>
    <w:rsid w:val="00796713"/>
    <w:rsid w:val="00796CBD"/>
    <w:rsid w:val="007A4A06"/>
    <w:rsid w:val="007A53B0"/>
    <w:rsid w:val="007B1C7A"/>
    <w:rsid w:val="007B2F43"/>
    <w:rsid w:val="007B31F2"/>
    <w:rsid w:val="007B3DA8"/>
    <w:rsid w:val="007B4B08"/>
    <w:rsid w:val="007B53F9"/>
    <w:rsid w:val="007B6A5C"/>
    <w:rsid w:val="007B6D27"/>
    <w:rsid w:val="007C2362"/>
    <w:rsid w:val="007C2B1D"/>
    <w:rsid w:val="007C45B0"/>
    <w:rsid w:val="007C5FFD"/>
    <w:rsid w:val="007C6D19"/>
    <w:rsid w:val="007D1A76"/>
    <w:rsid w:val="007D2825"/>
    <w:rsid w:val="007D62ED"/>
    <w:rsid w:val="007D7580"/>
    <w:rsid w:val="007D7BB1"/>
    <w:rsid w:val="007E0D15"/>
    <w:rsid w:val="007F0C40"/>
    <w:rsid w:val="007F66CD"/>
    <w:rsid w:val="007F6811"/>
    <w:rsid w:val="00800E1E"/>
    <w:rsid w:val="00807C6F"/>
    <w:rsid w:val="0081074D"/>
    <w:rsid w:val="008108E8"/>
    <w:rsid w:val="0081291B"/>
    <w:rsid w:val="00812DF8"/>
    <w:rsid w:val="00814415"/>
    <w:rsid w:val="00814765"/>
    <w:rsid w:val="008204B5"/>
    <w:rsid w:val="00820B47"/>
    <w:rsid w:val="00820F2C"/>
    <w:rsid w:val="00824140"/>
    <w:rsid w:val="0082549D"/>
    <w:rsid w:val="00827C89"/>
    <w:rsid w:val="008303E4"/>
    <w:rsid w:val="008329A5"/>
    <w:rsid w:val="00835314"/>
    <w:rsid w:val="0084640E"/>
    <w:rsid w:val="00847DB4"/>
    <w:rsid w:val="00852746"/>
    <w:rsid w:val="0085531B"/>
    <w:rsid w:val="00855913"/>
    <w:rsid w:val="00857E38"/>
    <w:rsid w:val="00862EFD"/>
    <w:rsid w:val="008672CA"/>
    <w:rsid w:val="00867A1B"/>
    <w:rsid w:val="008722DF"/>
    <w:rsid w:val="00873AC5"/>
    <w:rsid w:val="00876E2E"/>
    <w:rsid w:val="008774E5"/>
    <w:rsid w:val="00877565"/>
    <w:rsid w:val="008824CF"/>
    <w:rsid w:val="008872BA"/>
    <w:rsid w:val="00890210"/>
    <w:rsid w:val="00892F3A"/>
    <w:rsid w:val="00894763"/>
    <w:rsid w:val="008949FC"/>
    <w:rsid w:val="00895930"/>
    <w:rsid w:val="008A1E00"/>
    <w:rsid w:val="008A4FF8"/>
    <w:rsid w:val="008B3EE2"/>
    <w:rsid w:val="008B5CEA"/>
    <w:rsid w:val="008B7191"/>
    <w:rsid w:val="008C39D0"/>
    <w:rsid w:val="008C749F"/>
    <w:rsid w:val="008D1053"/>
    <w:rsid w:val="008D19FA"/>
    <w:rsid w:val="008D3BCA"/>
    <w:rsid w:val="008D48D6"/>
    <w:rsid w:val="008D59B4"/>
    <w:rsid w:val="008D7476"/>
    <w:rsid w:val="008E028E"/>
    <w:rsid w:val="008E2D03"/>
    <w:rsid w:val="008E5D7B"/>
    <w:rsid w:val="008E6142"/>
    <w:rsid w:val="008E7BEB"/>
    <w:rsid w:val="008F5021"/>
    <w:rsid w:val="008F5122"/>
    <w:rsid w:val="008F6F10"/>
    <w:rsid w:val="008F6F96"/>
    <w:rsid w:val="0090581E"/>
    <w:rsid w:val="0090691F"/>
    <w:rsid w:val="00910082"/>
    <w:rsid w:val="00911F87"/>
    <w:rsid w:val="00913439"/>
    <w:rsid w:val="00913C66"/>
    <w:rsid w:val="00914C15"/>
    <w:rsid w:val="0091594A"/>
    <w:rsid w:val="009162E5"/>
    <w:rsid w:val="009220BB"/>
    <w:rsid w:val="009221E5"/>
    <w:rsid w:val="00924562"/>
    <w:rsid w:val="0092496C"/>
    <w:rsid w:val="0092593E"/>
    <w:rsid w:val="009271B7"/>
    <w:rsid w:val="0093017D"/>
    <w:rsid w:val="009334FD"/>
    <w:rsid w:val="00934DF2"/>
    <w:rsid w:val="00936B2D"/>
    <w:rsid w:val="00937B27"/>
    <w:rsid w:val="0094452B"/>
    <w:rsid w:val="0094738D"/>
    <w:rsid w:val="00947B21"/>
    <w:rsid w:val="00951E2C"/>
    <w:rsid w:val="00955050"/>
    <w:rsid w:val="0095787C"/>
    <w:rsid w:val="00961E63"/>
    <w:rsid w:val="00964433"/>
    <w:rsid w:val="009653E0"/>
    <w:rsid w:val="00966597"/>
    <w:rsid w:val="00967003"/>
    <w:rsid w:val="00967406"/>
    <w:rsid w:val="00974F08"/>
    <w:rsid w:val="009769C6"/>
    <w:rsid w:val="00977482"/>
    <w:rsid w:val="00980CE7"/>
    <w:rsid w:val="00983964"/>
    <w:rsid w:val="009851CB"/>
    <w:rsid w:val="00987340"/>
    <w:rsid w:val="009A6C2C"/>
    <w:rsid w:val="009B059D"/>
    <w:rsid w:val="009B2866"/>
    <w:rsid w:val="009C1B56"/>
    <w:rsid w:val="009C2B16"/>
    <w:rsid w:val="009C59D8"/>
    <w:rsid w:val="009C5FFA"/>
    <w:rsid w:val="009D1179"/>
    <w:rsid w:val="009D288E"/>
    <w:rsid w:val="009D40BE"/>
    <w:rsid w:val="009D64BB"/>
    <w:rsid w:val="009D7C5B"/>
    <w:rsid w:val="009E03DD"/>
    <w:rsid w:val="009E60FC"/>
    <w:rsid w:val="009F09FC"/>
    <w:rsid w:val="009F1CF0"/>
    <w:rsid w:val="009F60C1"/>
    <w:rsid w:val="00A00BBB"/>
    <w:rsid w:val="00A01A93"/>
    <w:rsid w:val="00A148D8"/>
    <w:rsid w:val="00A17A92"/>
    <w:rsid w:val="00A27633"/>
    <w:rsid w:val="00A33DF8"/>
    <w:rsid w:val="00A4200A"/>
    <w:rsid w:val="00A45E8F"/>
    <w:rsid w:val="00A47361"/>
    <w:rsid w:val="00A523CC"/>
    <w:rsid w:val="00A546ED"/>
    <w:rsid w:val="00A60217"/>
    <w:rsid w:val="00A60931"/>
    <w:rsid w:val="00A61374"/>
    <w:rsid w:val="00A619DE"/>
    <w:rsid w:val="00A62428"/>
    <w:rsid w:val="00A64B54"/>
    <w:rsid w:val="00A66AAD"/>
    <w:rsid w:val="00A712EF"/>
    <w:rsid w:val="00A7197A"/>
    <w:rsid w:val="00A73140"/>
    <w:rsid w:val="00A73ED7"/>
    <w:rsid w:val="00A742F4"/>
    <w:rsid w:val="00A75761"/>
    <w:rsid w:val="00A768B2"/>
    <w:rsid w:val="00A81BE1"/>
    <w:rsid w:val="00A81FD7"/>
    <w:rsid w:val="00A829ED"/>
    <w:rsid w:val="00A8573C"/>
    <w:rsid w:val="00A947CB"/>
    <w:rsid w:val="00A9678E"/>
    <w:rsid w:val="00AA0FAC"/>
    <w:rsid w:val="00AB1126"/>
    <w:rsid w:val="00AB1FC1"/>
    <w:rsid w:val="00AB25F5"/>
    <w:rsid w:val="00AB4EEC"/>
    <w:rsid w:val="00AB64DE"/>
    <w:rsid w:val="00AB6F19"/>
    <w:rsid w:val="00AC04EE"/>
    <w:rsid w:val="00AC0FF6"/>
    <w:rsid w:val="00AC17FA"/>
    <w:rsid w:val="00AC32F9"/>
    <w:rsid w:val="00AC74B4"/>
    <w:rsid w:val="00AD380C"/>
    <w:rsid w:val="00AD38CE"/>
    <w:rsid w:val="00AD3ACF"/>
    <w:rsid w:val="00AE045A"/>
    <w:rsid w:val="00AE1FD2"/>
    <w:rsid w:val="00AE2D7A"/>
    <w:rsid w:val="00AE40AB"/>
    <w:rsid w:val="00AE42EC"/>
    <w:rsid w:val="00AE4F7C"/>
    <w:rsid w:val="00AE539F"/>
    <w:rsid w:val="00AF2495"/>
    <w:rsid w:val="00AF2749"/>
    <w:rsid w:val="00AF353D"/>
    <w:rsid w:val="00AF4AA4"/>
    <w:rsid w:val="00AF7E13"/>
    <w:rsid w:val="00B00ADD"/>
    <w:rsid w:val="00B00B91"/>
    <w:rsid w:val="00B07754"/>
    <w:rsid w:val="00B12E70"/>
    <w:rsid w:val="00B1425A"/>
    <w:rsid w:val="00B15BD1"/>
    <w:rsid w:val="00B161AD"/>
    <w:rsid w:val="00B21B82"/>
    <w:rsid w:val="00B21C90"/>
    <w:rsid w:val="00B222EB"/>
    <w:rsid w:val="00B238D8"/>
    <w:rsid w:val="00B25DBE"/>
    <w:rsid w:val="00B2708E"/>
    <w:rsid w:val="00B27B22"/>
    <w:rsid w:val="00B27D90"/>
    <w:rsid w:val="00B3135D"/>
    <w:rsid w:val="00B377B2"/>
    <w:rsid w:val="00B41391"/>
    <w:rsid w:val="00B4172D"/>
    <w:rsid w:val="00B41AE0"/>
    <w:rsid w:val="00B538CF"/>
    <w:rsid w:val="00B55313"/>
    <w:rsid w:val="00B559AD"/>
    <w:rsid w:val="00B60727"/>
    <w:rsid w:val="00B619C7"/>
    <w:rsid w:val="00B67D94"/>
    <w:rsid w:val="00B700EF"/>
    <w:rsid w:val="00B7066A"/>
    <w:rsid w:val="00B71542"/>
    <w:rsid w:val="00B74A60"/>
    <w:rsid w:val="00B75BE8"/>
    <w:rsid w:val="00B8152E"/>
    <w:rsid w:val="00B824C4"/>
    <w:rsid w:val="00B85D8C"/>
    <w:rsid w:val="00B947A5"/>
    <w:rsid w:val="00B95572"/>
    <w:rsid w:val="00B96DC1"/>
    <w:rsid w:val="00B97F83"/>
    <w:rsid w:val="00BA2020"/>
    <w:rsid w:val="00BA2DDE"/>
    <w:rsid w:val="00BA2F57"/>
    <w:rsid w:val="00BA3F4B"/>
    <w:rsid w:val="00BA67E9"/>
    <w:rsid w:val="00BB05A4"/>
    <w:rsid w:val="00BB3311"/>
    <w:rsid w:val="00BB4211"/>
    <w:rsid w:val="00BB55B5"/>
    <w:rsid w:val="00BB7952"/>
    <w:rsid w:val="00BB7E91"/>
    <w:rsid w:val="00BC0DAD"/>
    <w:rsid w:val="00BC1FBC"/>
    <w:rsid w:val="00BC303B"/>
    <w:rsid w:val="00BC548E"/>
    <w:rsid w:val="00BE0CE4"/>
    <w:rsid w:val="00BE3089"/>
    <w:rsid w:val="00BE3A45"/>
    <w:rsid w:val="00BE46CF"/>
    <w:rsid w:val="00BE4D4B"/>
    <w:rsid w:val="00BE4E6E"/>
    <w:rsid w:val="00BF0746"/>
    <w:rsid w:val="00BF14CC"/>
    <w:rsid w:val="00BF658E"/>
    <w:rsid w:val="00BF6972"/>
    <w:rsid w:val="00BF6DF1"/>
    <w:rsid w:val="00C07F21"/>
    <w:rsid w:val="00C1041A"/>
    <w:rsid w:val="00C1171C"/>
    <w:rsid w:val="00C2110F"/>
    <w:rsid w:val="00C21837"/>
    <w:rsid w:val="00C311B7"/>
    <w:rsid w:val="00C3154B"/>
    <w:rsid w:val="00C3267B"/>
    <w:rsid w:val="00C3325A"/>
    <w:rsid w:val="00C33264"/>
    <w:rsid w:val="00C50A86"/>
    <w:rsid w:val="00C50EB7"/>
    <w:rsid w:val="00C51093"/>
    <w:rsid w:val="00C5699A"/>
    <w:rsid w:val="00C6039E"/>
    <w:rsid w:val="00C607A2"/>
    <w:rsid w:val="00C60C8C"/>
    <w:rsid w:val="00C621FC"/>
    <w:rsid w:val="00C67AEB"/>
    <w:rsid w:val="00C67C8C"/>
    <w:rsid w:val="00C70EE1"/>
    <w:rsid w:val="00C76C5C"/>
    <w:rsid w:val="00C802DC"/>
    <w:rsid w:val="00C80C4D"/>
    <w:rsid w:val="00C812FA"/>
    <w:rsid w:val="00C828CD"/>
    <w:rsid w:val="00C8572E"/>
    <w:rsid w:val="00C87246"/>
    <w:rsid w:val="00C948E3"/>
    <w:rsid w:val="00C964AD"/>
    <w:rsid w:val="00C97FF5"/>
    <w:rsid w:val="00CA353C"/>
    <w:rsid w:val="00CA489A"/>
    <w:rsid w:val="00CA4B80"/>
    <w:rsid w:val="00CA6D83"/>
    <w:rsid w:val="00CB4608"/>
    <w:rsid w:val="00CB56BD"/>
    <w:rsid w:val="00CC0429"/>
    <w:rsid w:val="00CC5301"/>
    <w:rsid w:val="00CD1466"/>
    <w:rsid w:val="00CD1F47"/>
    <w:rsid w:val="00CD26E1"/>
    <w:rsid w:val="00CD42C6"/>
    <w:rsid w:val="00CD4FA8"/>
    <w:rsid w:val="00CD6B89"/>
    <w:rsid w:val="00CE26CB"/>
    <w:rsid w:val="00CE2CDA"/>
    <w:rsid w:val="00CE7DA1"/>
    <w:rsid w:val="00CF181B"/>
    <w:rsid w:val="00CF27B2"/>
    <w:rsid w:val="00CF65A3"/>
    <w:rsid w:val="00D00528"/>
    <w:rsid w:val="00D05C00"/>
    <w:rsid w:val="00D1309B"/>
    <w:rsid w:val="00D141D7"/>
    <w:rsid w:val="00D15A19"/>
    <w:rsid w:val="00D175CF"/>
    <w:rsid w:val="00D2049B"/>
    <w:rsid w:val="00D2266B"/>
    <w:rsid w:val="00D24422"/>
    <w:rsid w:val="00D302F0"/>
    <w:rsid w:val="00D309A0"/>
    <w:rsid w:val="00D3268D"/>
    <w:rsid w:val="00D330F4"/>
    <w:rsid w:val="00D3475D"/>
    <w:rsid w:val="00D34AB7"/>
    <w:rsid w:val="00D418C2"/>
    <w:rsid w:val="00D43126"/>
    <w:rsid w:val="00D435EE"/>
    <w:rsid w:val="00D45D3D"/>
    <w:rsid w:val="00D46859"/>
    <w:rsid w:val="00D57F07"/>
    <w:rsid w:val="00D6186A"/>
    <w:rsid w:val="00D63698"/>
    <w:rsid w:val="00D64B06"/>
    <w:rsid w:val="00D64C48"/>
    <w:rsid w:val="00D6582D"/>
    <w:rsid w:val="00D67AF6"/>
    <w:rsid w:val="00D72163"/>
    <w:rsid w:val="00D763B7"/>
    <w:rsid w:val="00D77055"/>
    <w:rsid w:val="00D77345"/>
    <w:rsid w:val="00D7770D"/>
    <w:rsid w:val="00D8202F"/>
    <w:rsid w:val="00D91FF4"/>
    <w:rsid w:val="00D92EE4"/>
    <w:rsid w:val="00D93E34"/>
    <w:rsid w:val="00D94DC9"/>
    <w:rsid w:val="00DA1B87"/>
    <w:rsid w:val="00DA4F1A"/>
    <w:rsid w:val="00DA730B"/>
    <w:rsid w:val="00DA7B16"/>
    <w:rsid w:val="00DA7C25"/>
    <w:rsid w:val="00DB0093"/>
    <w:rsid w:val="00DB05FC"/>
    <w:rsid w:val="00DB1D60"/>
    <w:rsid w:val="00DB449E"/>
    <w:rsid w:val="00DB4521"/>
    <w:rsid w:val="00DB7D7C"/>
    <w:rsid w:val="00DC0373"/>
    <w:rsid w:val="00DC1055"/>
    <w:rsid w:val="00DC192A"/>
    <w:rsid w:val="00DC6811"/>
    <w:rsid w:val="00DD052D"/>
    <w:rsid w:val="00DD2953"/>
    <w:rsid w:val="00DD3271"/>
    <w:rsid w:val="00DD4924"/>
    <w:rsid w:val="00DE0DEB"/>
    <w:rsid w:val="00DE4114"/>
    <w:rsid w:val="00DE60AE"/>
    <w:rsid w:val="00DE62D3"/>
    <w:rsid w:val="00DE63CF"/>
    <w:rsid w:val="00DE7F8E"/>
    <w:rsid w:val="00DF0757"/>
    <w:rsid w:val="00DF09F9"/>
    <w:rsid w:val="00DF157C"/>
    <w:rsid w:val="00DF261B"/>
    <w:rsid w:val="00DF3B22"/>
    <w:rsid w:val="00DF4E13"/>
    <w:rsid w:val="00DF77B2"/>
    <w:rsid w:val="00DF7FC6"/>
    <w:rsid w:val="00E02DF7"/>
    <w:rsid w:val="00E033EE"/>
    <w:rsid w:val="00E03EA9"/>
    <w:rsid w:val="00E070FB"/>
    <w:rsid w:val="00E07F03"/>
    <w:rsid w:val="00E10CF1"/>
    <w:rsid w:val="00E13370"/>
    <w:rsid w:val="00E16198"/>
    <w:rsid w:val="00E17B10"/>
    <w:rsid w:val="00E2132E"/>
    <w:rsid w:val="00E21574"/>
    <w:rsid w:val="00E25B7E"/>
    <w:rsid w:val="00E25CD7"/>
    <w:rsid w:val="00E26B83"/>
    <w:rsid w:val="00E26BA8"/>
    <w:rsid w:val="00E26E22"/>
    <w:rsid w:val="00E27521"/>
    <w:rsid w:val="00E27A8B"/>
    <w:rsid w:val="00E34CB2"/>
    <w:rsid w:val="00E3524D"/>
    <w:rsid w:val="00E36217"/>
    <w:rsid w:val="00E442D7"/>
    <w:rsid w:val="00E444F3"/>
    <w:rsid w:val="00E51C0E"/>
    <w:rsid w:val="00E56FDE"/>
    <w:rsid w:val="00E652A9"/>
    <w:rsid w:val="00E672CE"/>
    <w:rsid w:val="00E6746A"/>
    <w:rsid w:val="00E73377"/>
    <w:rsid w:val="00E741CF"/>
    <w:rsid w:val="00E830CF"/>
    <w:rsid w:val="00E84B54"/>
    <w:rsid w:val="00E875C9"/>
    <w:rsid w:val="00E97083"/>
    <w:rsid w:val="00EA4FF3"/>
    <w:rsid w:val="00EA5CEE"/>
    <w:rsid w:val="00EA64A2"/>
    <w:rsid w:val="00EA79D5"/>
    <w:rsid w:val="00EB00C7"/>
    <w:rsid w:val="00EB2BBE"/>
    <w:rsid w:val="00EB565C"/>
    <w:rsid w:val="00EB64B6"/>
    <w:rsid w:val="00EB6EE8"/>
    <w:rsid w:val="00EB7273"/>
    <w:rsid w:val="00ED1CF5"/>
    <w:rsid w:val="00ED31C9"/>
    <w:rsid w:val="00ED53B6"/>
    <w:rsid w:val="00ED686A"/>
    <w:rsid w:val="00EE04D0"/>
    <w:rsid w:val="00EE0A47"/>
    <w:rsid w:val="00EE4211"/>
    <w:rsid w:val="00EE7AEF"/>
    <w:rsid w:val="00EF28C2"/>
    <w:rsid w:val="00EF38DD"/>
    <w:rsid w:val="00EF53E5"/>
    <w:rsid w:val="00EF7ED8"/>
    <w:rsid w:val="00F028BE"/>
    <w:rsid w:val="00F0586A"/>
    <w:rsid w:val="00F063E9"/>
    <w:rsid w:val="00F105B6"/>
    <w:rsid w:val="00F114DB"/>
    <w:rsid w:val="00F13267"/>
    <w:rsid w:val="00F13BDC"/>
    <w:rsid w:val="00F15BF5"/>
    <w:rsid w:val="00F15C7B"/>
    <w:rsid w:val="00F22F02"/>
    <w:rsid w:val="00F254AD"/>
    <w:rsid w:val="00F265AB"/>
    <w:rsid w:val="00F26AAE"/>
    <w:rsid w:val="00F31011"/>
    <w:rsid w:val="00F33188"/>
    <w:rsid w:val="00F33B8F"/>
    <w:rsid w:val="00F34505"/>
    <w:rsid w:val="00F36A4D"/>
    <w:rsid w:val="00F40767"/>
    <w:rsid w:val="00F44A8A"/>
    <w:rsid w:val="00F550F7"/>
    <w:rsid w:val="00F619C8"/>
    <w:rsid w:val="00F64DA9"/>
    <w:rsid w:val="00F66BB9"/>
    <w:rsid w:val="00F67E4A"/>
    <w:rsid w:val="00F71634"/>
    <w:rsid w:val="00F752EA"/>
    <w:rsid w:val="00F80AF7"/>
    <w:rsid w:val="00F81943"/>
    <w:rsid w:val="00F82D52"/>
    <w:rsid w:val="00F83112"/>
    <w:rsid w:val="00F86F64"/>
    <w:rsid w:val="00F90A69"/>
    <w:rsid w:val="00F91226"/>
    <w:rsid w:val="00F92C0A"/>
    <w:rsid w:val="00FA0394"/>
    <w:rsid w:val="00FB1070"/>
    <w:rsid w:val="00FB27DA"/>
    <w:rsid w:val="00FB3096"/>
    <w:rsid w:val="00FC072A"/>
    <w:rsid w:val="00FC3BB1"/>
    <w:rsid w:val="00FC4547"/>
    <w:rsid w:val="00FD23C2"/>
    <w:rsid w:val="00FD38F9"/>
    <w:rsid w:val="00FD40F0"/>
    <w:rsid w:val="00FD52E9"/>
    <w:rsid w:val="00FD6FDD"/>
    <w:rsid w:val="00FD7ED7"/>
    <w:rsid w:val="00FE0C65"/>
    <w:rsid w:val="00FE4887"/>
    <w:rsid w:val="00FE580C"/>
    <w:rsid w:val="00FE5EF3"/>
    <w:rsid w:val="00FF22D6"/>
    <w:rsid w:val="00FF61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5D5372EE"/>
  <w15:docId w15:val="{F080B80E-D983-4FA0-8722-A417178F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36B56"/>
    <w:pPr>
      <w:spacing w:after="200" w:line="276" w:lineRule="auto"/>
    </w:pPr>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uiPriority w:val="99"/>
    <w:rsid w:val="00036B56"/>
    <w:pPr>
      <w:autoSpaceDE w:val="0"/>
      <w:autoSpaceDN w:val="0"/>
      <w:adjustRightInd w:val="0"/>
      <w:spacing w:after="0" w:line="560" w:lineRule="atLeast"/>
      <w:textAlignment w:val="center"/>
    </w:pPr>
    <w:rPr>
      <w:rFonts w:ascii="Arial Black" w:hAnsi="Arial Black" w:cs="Arial Black"/>
      <w:color w:val="000000"/>
      <w:sz w:val="46"/>
      <w:szCs w:val="46"/>
    </w:rPr>
  </w:style>
  <w:style w:type="character" w:styleId="Odkaznakoment">
    <w:name w:val="annotation reference"/>
    <w:uiPriority w:val="99"/>
    <w:semiHidden/>
    <w:unhideWhenUsed/>
    <w:rsid w:val="00036B56"/>
    <w:rPr>
      <w:sz w:val="16"/>
    </w:rPr>
  </w:style>
  <w:style w:type="paragraph" w:styleId="Textkomente">
    <w:name w:val="annotation text"/>
    <w:basedOn w:val="Normln"/>
    <w:link w:val="TextkomenteChar"/>
    <w:uiPriority w:val="99"/>
    <w:semiHidden/>
    <w:unhideWhenUsed/>
    <w:rsid w:val="00036B56"/>
    <w:rPr>
      <w:sz w:val="20"/>
      <w:szCs w:val="20"/>
    </w:rPr>
  </w:style>
  <w:style w:type="character" w:customStyle="1" w:styleId="TextkomenteChar">
    <w:name w:val="Text komentáře Char"/>
    <w:basedOn w:val="Standardnpsmoodstavce"/>
    <w:link w:val="Textkomente"/>
    <w:uiPriority w:val="99"/>
    <w:semiHidden/>
    <w:rsid w:val="00036B56"/>
    <w:rPr>
      <w:rFonts w:ascii="Calibri" w:eastAsia="Times New Roman" w:hAnsi="Calibri" w:cs="Times New Roman"/>
      <w:sz w:val="20"/>
      <w:szCs w:val="20"/>
    </w:rPr>
  </w:style>
  <w:style w:type="character" w:styleId="Hypertextovodkaz">
    <w:name w:val="Hyperlink"/>
    <w:uiPriority w:val="99"/>
    <w:unhideWhenUsed/>
    <w:rsid w:val="00036B56"/>
    <w:rPr>
      <w:color w:val="0000FF"/>
      <w:u w:val="single"/>
    </w:rPr>
  </w:style>
  <w:style w:type="paragraph" w:styleId="Textbubliny">
    <w:name w:val="Balloon Text"/>
    <w:basedOn w:val="Normln"/>
    <w:link w:val="TextbublinyChar"/>
    <w:uiPriority w:val="99"/>
    <w:semiHidden/>
    <w:unhideWhenUsed/>
    <w:rsid w:val="00036B5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6B56"/>
    <w:rPr>
      <w:rFonts w:ascii="Segoe UI" w:eastAsia="Times New Roman" w:hAnsi="Segoe UI" w:cs="Segoe UI"/>
      <w:sz w:val="18"/>
      <w:szCs w:val="18"/>
    </w:rPr>
  </w:style>
  <w:style w:type="paragraph" w:styleId="Pedmtkomente">
    <w:name w:val="annotation subject"/>
    <w:basedOn w:val="Textkomente"/>
    <w:next w:val="Textkomente"/>
    <w:link w:val="PedmtkomenteChar"/>
    <w:uiPriority w:val="99"/>
    <w:semiHidden/>
    <w:unhideWhenUsed/>
    <w:rsid w:val="002C100F"/>
    <w:pPr>
      <w:spacing w:line="240" w:lineRule="auto"/>
    </w:pPr>
    <w:rPr>
      <w:b/>
      <w:bCs/>
    </w:rPr>
  </w:style>
  <w:style w:type="character" w:customStyle="1" w:styleId="PedmtkomenteChar">
    <w:name w:val="Předmět komentáře Char"/>
    <w:basedOn w:val="TextkomenteChar"/>
    <w:link w:val="Pedmtkomente"/>
    <w:uiPriority w:val="99"/>
    <w:semiHidden/>
    <w:rsid w:val="002C100F"/>
    <w:rPr>
      <w:rFonts w:ascii="Calibri" w:eastAsia="Times New Roman" w:hAnsi="Calibri" w:cs="Times New Roman"/>
      <w:b/>
      <w:bCs/>
      <w:sz w:val="20"/>
      <w:szCs w:val="20"/>
    </w:rPr>
  </w:style>
  <w:style w:type="paragraph" w:styleId="Zhlav">
    <w:name w:val="header"/>
    <w:basedOn w:val="Normln"/>
    <w:link w:val="ZhlavChar"/>
    <w:uiPriority w:val="99"/>
    <w:unhideWhenUsed/>
    <w:rsid w:val="00655B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5B14"/>
    <w:rPr>
      <w:rFonts w:ascii="Calibri" w:eastAsia="Times New Roman" w:hAnsi="Calibri" w:cs="Times New Roman"/>
    </w:rPr>
  </w:style>
  <w:style w:type="paragraph" w:styleId="Zpat">
    <w:name w:val="footer"/>
    <w:basedOn w:val="Normln"/>
    <w:link w:val="ZpatChar"/>
    <w:uiPriority w:val="99"/>
    <w:unhideWhenUsed/>
    <w:rsid w:val="00655B14"/>
    <w:pPr>
      <w:tabs>
        <w:tab w:val="center" w:pos="4536"/>
        <w:tab w:val="right" w:pos="9072"/>
      </w:tabs>
      <w:spacing w:after="0" w:line="240" w:lineRule="auto"/>
    </w:pPr>
  </w:style>
  <w:style w:type="character" w:customStyle="1" w:styleId="ZpatChar">
    <w:name w:val="Zápatí Char"/>
    <w:basedOn w:val="Standardnpsmoodstavce"/>
    <w:link w:val="Zpat"/>
    <w:uiPriority w:val="99"/>
    <w:rsid w:val="00655B14"/>
    <w:rPr>
      <w:rFonts w:ascii="Calibri" w:eastAsia="Times New Roman" w:hAnsi="Calibri" w:cs="Times New Roman"/>
    </w:rPr>
  </w:style>
  <w:style w:type="character" w:styleId="Siln">
    <w:name w:val="Strong"/>
    <w:basedOn w:val="Standardnpsmoodstavce"/>
    <w:uiPriority w:val="22"/>
    <w:qFormat/>
    <w:rsid w:val="00827C89"/>
    <w:rPr>
      <w:b/>
      <w:bCs/>
    </w:rPr>
  </w:style>
  <w:style w:type="table" w:styleId="Mkatabulky">
    <w:name w:val="Table Grid"/>
    <w:basedOn w:val="Normlntabulka"/>
    <w:uiPriority w:val="39"/>
    <w:rsid w:val="0074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44AAE"/>
    <w:pPr>
      <w:ind w:left="720"/>
      <w:contextualSpacing/>
    </w:pPr>
  </w:style>
  <w:style w:type="paragraph" w:styleId="Titulek">
    <w:name w:val="caption"/>
    <w:basedOn w:val="Normln"/>
    <w:next w:val="Normln"/>
    <w:uiPriority w:val="35"/>
    <w:unhideWhenUsed/>
    <w:qFormat/>
    <w:rsid w:val="00757D74"/>
    <w:pPr>
      <w:spacing w:line="240" w:lineRule="auto"/>
    </w:pPr>
    <w:rPr>
      <w:i/>
      <w:iCs/>
      <w:color w:val="44546A" w:themeColor="text2"/>
      <w:sz w:val="18"/>
      <w:szCs w:val="18"/>
    </w:rPr>
  </w:style>
  <w:style w:type="character" w:customStyle="1" w:styleId="gmail-normaltextrun">
    <w:name w:val="gmail-normaltextrun"/>
    <w:basedOn w:val="Standardnpsmoodstavce"/>
    <w:rsid w:val="00C07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7018">
      <w:bodyDiv w:val="1"/>
      <w:marLeft w:val="0"/>
      <w:marRight w:val="0"/>
      <w:marTop w:val="0"/>
      <w:marBottom w:val="0"/>
      <w:divBdr>
        <w:top w:val="none" w:sz="0" w:space="0" w:color="auto"/>
        <w:left w:val="none" w:sz="0" w:space="0" w:color="auto"/>
        <w:bottom w:val="none" w:sz="0" w:space="0" w:color="auto"/>
        <w:right w:val="none" w:sz="0" w:space="0" w:color="auto"/>
      </w:divBdr>
    </w:div>
    <w:div w:id="96415645">
      <w:bodyDiv w:val="1"/>
      <w:marLeft w:val="0"/>
      <w:marRight w:val="0"/>
      <w:marTop w:val="0"/>
      <w:marBottom w:val="0"/>
      <w:divBdr>
        <w:top w:val="none" w:sz="0" w:space="0" w:color="auto"/>
        <w:left w:val="none" w:sz="0" w:space="0" w:color="auto"/>
        <w:bottom w:val="none" w:sz="0" w:space="0" w:color="auto"/>
        <w:right w:val="none" w:sz="0" w:space="0" w:color="auto"/>
      </w:divBdr>
      <w:divsChild>
        <w:div w:id="1648124632">
          <w:marLeft w:val="0"/>
          <w:marRight w:val="0"/>
          <w:marTop w:val="0"/>
          <w:marBottom w:val="0"/>
          <w:divBdr>
            <w:top w:val="none" w:sz="0" w:space="0" w:color="auto"/>
            <w:left w:val="none" w:sz="0" w:space="0" w:color="auto"/>
            <w:bottom w:val="none" w:sz="0" w:space="0" w:color="auto"/>
            <w:right w:val="none" w:sz="0" w:space="0" w:color="auto"/>
          </w:divBdr>
        </w:div>
        <w:div w:id="485167618">
          <w:marLeft w:val="0"/>
          <w:marRight w:val="0"/>
          <w:marTop w:val="0"/>
          <w:marBottom w:val="0"/>
          <w:divBdr>
            <w:top w:val="none" w:sz="0" w:space="0" w:color="auto"/>
            <w:left w:val="none" w:sz="0" w:space="0" w:color="auto"/>
            <w:bottom w:val="none" w:sz="0" w:space="0" w:color="auto"/>
            <w:right w:val="none" w:sz="0" w:space="0" w:color="auto"/>
          </w:divBdr>
        </w:div>
        <w:div w:id="1739551115">
          <w:marLeft w:val="0"/>
          <w:marRight w:val="0"/>
          <w:marTop w:val="0"/>
          <w:marBottom w:val="0"/>
          <w:divBdr>
            <w:top w:val="none" w:sz="0" w:space="0" w:color="auto"/>
            <w:left w:val="none" w:sz="0" w:space="0" w:color="auto"/>
            <w:bottom w:val="none" w:sz="0" w:space="0" w:color="auto"/>
            <w:right w:val="none" w:sz="0" w:space="0" w:color="auto"/>
          </w:divBdr>
        </w:div>
        <w:div w:id="481894092">
          <w:marLeft w:val="0"/>
          <w:marRight w:val="0"/>
          <w:marTop w:val="0"/>
          <w:marBottom w:val="0"/>
          <w:divBdr>
            <w:top w:val="none" w:sz="0" w:space="0" w:color="auto"/>
            <w:left w:val="none" w:sz="0" w:space="0" w:color="auto"/>
            <w:bottom w:val="none" w:sz="0" w:space="0" w:color="auto"/>
            <w:right w:val="none" w:sz="0" w:space="0" w:color="auto"/>
          </w:divBdr>
        </w:div>
        <w:div w:id="2125075089">
          <w:marLeft w:val="0"/>
          <w:marRight w:val="0"/>
          <w:marTop w:val="0"/>
          <w:marBottom w:val="0"/>
          <w:divBdr>
            <w:top w:val="none" w:sz="0" w:space="0" w:color="auto"/>
            <w:left w:val="none" w:sz="0" w:space="0" w:color="auto"/>
            <w:bottom w:val="none" w:sz="0" w:space="0" w:color="auto"/>
            <w:right w:val="none" w:sz="0" w:space="0" w:color="auto"/>
          </w:divBdr>
        </w:div>
        <w:div w:id="1462268812">
          <w:marLeft w:val="0"/>
          <w:marRight w:val="0"/>
          <w:marTop w:val="0"/>
          <w:marBottom w:val="0"/>
          <w:divBdr>
            <w:top w:val="none" w:sz="0" w:space="0" w:color="auto"/>
            <w:left w:val="none" w:sz="0" w:space="0" w:color="auto"/>
            <w:bottom w:val="none" w:sz="0" w:space="0" w:color="auto"/>
            <w:right w:val="none" w:sz="0" w:space="0" w:color="auto"/>
          </w:divBdr>
        </w:div>
        <w:div w:id="1953635284">
          <w:marLeft w:val="0"/>
          <w:marRight w:val="0"/>
          <w:marTop w:val="0"/>
          <w:marBottom w:val="0"/>
          <w:divBdr>
            <w:top w:val="none" w:sz="0" w:space="0" w:color="auto"/>
            <w:left w:val="none" w:sz="0" w:space="0" w:color="auto"/>
            <w:bottom w:val="none" w:sz="0" w:space="0" w:color="auto"/>
            <w:right w:val="none" w:sz="0" w:space="0" w:color="auto"/>
          </w:divBdr>
        </w:div>
        <w:div w:id="809397416">
          <w:marLeft w:val="0"/>
          <w:marRight w:val="0"/>
          <w:marTop w:val="0"/>
          <w:marBottom w:val="0"/>
          <w:divBdr>
            <w:top w:val="none" w:sz="0" w:space="0" w:color="auto"/>
            <w:left w:val="none" w:sz="0" w:space="0" w:color="auto"/>
            <w:bottom w:val="none" w:sz="0" w:space="0" w:color="auto"/>
            <w:right w:val="none" w:sz="0" w:space="0" w:color="auto"/>
          </w:divBdr>
        </w:div>
        <w:div w:id="583148143">
          <w:marLeft w:val="0"/>
          <w:marRight w:val="0"/>
          <w:marTop w:val="0"/>
          <w:marBottom w:val="0"/>
          <w:divBdr>
            <w:top w:val="none" w:sz="0" w:space="0" w:color="auto"/>
            <w:left w:val="none" w:sz="0" w:space="0" w:color="auto"/>
            <w:bottom w:val="none" w:sz="0" w:space="0" w:color="auto"/>
            <w:right w:val="none" w:sz="0" w:space="0" w:color="auto"/>
          </w:divBdr>
        </w:div>
        <w:div w:id="174270409">
          <w:marLeft w:val="0"/>
          <w:marRight w:val="0"/>
          <w:marTop w:val="0"/>
          <w:marBottom w:val="0"/>
          <w:divBdr>
            <w:top w:val="none" w:sz="0" w:space="0" w:color="auto"/>
            <w:left w:val="none" w:sz="0" w:space="0" w:color="auto"/>
            <w:bottom w:val="none" w:sz="0" w:space="0" w:color="auto"/>
            <w:right w:val="none" w:sz="0" w:space="0" w:color="auto"/>
          </w:divBdr>
        </w:div>
        <w:div w:id="1848641766">
          <w:marLeft w:val="0"/>
          <w:marRight w:val="0"/>
          <w:marTop w:val="0"/>
          <w:marBottom w:val="0"/>
          <w:divBdr>
            <w:top w:val="none" w:sz="0" w:space="0" w:color="auto"/>
            <w:left w:val="none" w:sz="0" w:space="0" w:color="auto"/>
            <w:bottom w:val="none" w:sz="0" w:space="0" w:color="auto"/>
            <w:right w:val="none" w:sz="0" w:space="0" w:color="auto"/>
          </w:divBdr>
        </w:div>
        <w:div w:id="1636715697">
          <w:marLeft w:val="0"/>
          <w:marRight w:val="0"/>
          <w:marTop w:val="0"/>
          <w:marBottom w:val="0"/>
          <w:divBdr>
            <w:top w:val="none" w:sz="0" w:space="0" w:color="auto"/>
            <w:left w:val="none" w:sz="0" w:space="0" w:color="auto"/>
            <w:bottom w:val="none" w:sz="0" w:space="0" w:color="auto"/>
            <w:right w:val="none" w:sz="0" w:space="0" w:color="auto"/>
          </w:divBdr>
        </w:div>
        <w:div w:id="1282686158">
          <w:marLeft w:val="0"/>
          <w:marRight w:val="0"/>
          <w:marTop w:val="0"/>
          <w:marBottom w:val="0"/>
          <w:divBdr>
            <w:top w:val="none" w:sz="0" w:space="0" w:color="auto"/>
            <w:left w:val="none" w:sz="0" w:space="0" w:color="auto"/>
            <w:bottom w:val="none" w:sz="0" w:space="0" w:color="auto"/>
            <w:right w:val="none" w:sz="0" w:space="0" w:color="auto"/>
          </w:divBdr>
        </w:div>
        <w:div w:id="1212841866">
          <w:marLeft w:val="0"/>
          <w:marRight w:val="0"/>
          <w:marTop w:val="0"/>
          <w:marBottom w:val="0"/>
          <w:divBdr>
            <w:top w:val="none" w:sz="0" w:space="0" w:color="auto"/>
            <w:left w:val="none" w:sz="0" w:space="0" w:color="auto"/>
            <w:bottom w:val="none" w:sz="0" w:space="0" w:color="auto"/>
            <w:right w:val="none" w:sz="0" w:space="0" w:color="auto"/>
          </w:divBdr>
        </w:div>
        <w:div w:id="268439614">
          <w:marLeft w:val="0"/>
          <w:marRight w:val="0"/>
          <w:marTop w:val="0"/>
          <w:marBottom w:val="0"/>
          <w:divBdr>
            <w:top w:val="none" w:sz="0" w:space="0" w:color="auto"/>
            <w:left w:val="none" w:sz="0" w:space="0" w:color="auto"/>
            <w:bottom w:val="none" w:sz="0" w:space="0" w:color="auto"/>
            <w:right w:val="none" w:sz="0" w:space="0" w:color="auto"/>
          </w:divBdr>
        </w:div>
        <w:div w:id="602035424">
          <w:marLeft w:val="0"/>
          <w:marRight w:val="0"/>
          <w:marTop w:val="0"/>
          <w:marBottom w:val="0"/>
          <w:divBdr>
            <w:top w:val="none" w:sz="0" w:space="0" w:color="auto"/>
            <w:left w:val="none" w:sz="0" w:space="0" w:color="auto"/>
            <w:bottom w:val="none" w:sz="0" w:space="0" w:color="auto"/>
            <w:right w:val="none" w:sz="0" w:space="0" w:color="auto"/>
          </w:divBdr>
        </w:div>
        <w:div w:id="1049501224">
          <w:marLeft w:val="0"/>
          <w:marRight w:val="0"/>
          <w:marTop w:val="0"/>
          <w:marBottom w:val="0"/>
          <w:divBdr>
            <w:top w:val="none" w:sz="0" w:space="0" w:color="auto"/>
            <w:left w:val="none" w:sz="0" w:space="0" w:color="auto"/>
            <w:bottom w:val="none" w:sz="0" w:space="0" w:color="auto"/>
            <w:right w:val="none" w:sz="0" w:space="0" w:color="auto"/>
          </w:divBdr>
        </w:div>
        <w:div w:id="1757509273">
          <w:marLeft w:val="0"/>
          <w:marRight w:val="0"/>
          <w:marTop w:val="0"/>
          <w:marBottom w:val="0"/>
          <w:divBdr>
            <w:top w:val="none" w:sz="0" w:space="0" w:color="auto"/>
            <w:left w:val="none" w:sz="0" w:space="0" w:color="auto"/>
            <w:bottom w:val="none" w:sz="0" w:space="0" w:color="auto"/>
            <w:right w:val="none" w:sz="0" w:space="0" w:color="auto"/>
          </w:divBdr>
        </w:div>
        <w:div w:id="1998797085">
          <w:marLeft w:val="0"/>
          <w:marRight w:val="0"/>
          <w:marTop w:val="0"/>
          <w:marBottom w:val="0"/>
          <w:divBdr>
            <w:top w:val="none" w:sz="0" w:space="0" w:color="auto"/>
            <w:left w:val="none" w:sz="0" w:space="0" w:color="auto"/>
            <w:bottom w:val="none" w:sz="0" w:space="0" w:color="auto"/>
            <w:right w:val="none" w:sz="0" w:space="0" w:color="auto"/>
          </w:divBdr>
        </w:div>
        <w:div w:id="856507634">
          <w:marLeft w:val="0"/>
          <w:marRight w:val="0"/>
          <w:marTop w:val="0"/>
          <w:marBottom w:val="0"/>
          <w:divBdr>
            <w:top w:val="none" w:sz="0" w:space="0" w:color="auto"/>
            <w:left w:val="none" w:sz="0" w:space="0" w:color="auto"/>
            <w:bottom w:val="none" w:sz="0" w:space="0" w:color="auto"/>
            <w:right w:val="none" w:sz="0" w:space="0" w:color="auto"/>
          </w:divBdr>
        </w:div>
        <w:div w:id="642581024">
          <w:marLeft w:val="0"/>
          <w:marRight w:val="0"/>
          <w:marTop w:val="0"/>
          <w:marBottom w:val="0"/>
          <w:divBdr>
            <w:top w:val="none" w:sz="0" w:space="0" w:color="auto"/>
            <w:left w:val="none" w:sz="0" w:space="0" w:color="auto"/>
            <w:bottom w:val="none" w:sz="0" w:space="0" w:color="auto"/>
            <w:right w:val="none" w:sz="0" w:space="0" w:color="auto"/>
          </w:divBdr>
        </w:div>
        <w:div w:id="552497202">
          <w:marLeft w:val="0"/>
          <w:marRight w:val="0"/>
          <w:marTop w:val="0"/>
          <w:marBottom w:val="0"/>
          <w:divBdr>
            <w:top w:val="none" w:sz="0" w:space="0" w:color="auto"/>
            <w:left w:val="none" w:sz="0" w:space="0" w:color="auto"/>
            <w:bottom w:val="none" w:sz="0" w:space="0" w:color="auto"/>
            <w:right w:val="none" w:sz="0" w:space="0" w:color="auto"/>
          </w:divBdr>
        </w:div>
        <w:div w:id="1513033831">
          <w:marLeft w:val="0"/>
          <w:marRight w:val="0"/>
          <w:marTop w:val="0"/>
          <w:marBottom w:val="0"/>
          <w:divBdr>
            <w:top w:val="none" w:sz="0" w:space="0" w:color="auto"/>
            <w:left w:val="none" w:sz="0" w:space="0" w:color="auto"/>
            <w:bottom w:val="none" w:sz="0" w:space="0" w:color="auto"/>
            <w:right w:val="none" w:sz="0" w:space="0" w:color="auto"/>
          </w:divBdr>
        </w:div>
        <w:div w:id="1023743985">
          <w:marLeft w:val="0"/>
          <w:marRight w:val="0"/>
          <w:marTop w:val="0"/>
          <w:marBottom w:val="0"/>
          <w:divBdr>
            <w:top w:val="none" w:sz="0" w:space="0" w:color="auto"/>
            <w:left w:val="none" w:sz="0" w:space="0" w:color="auto"/>
            <w:bottom w:val="none" w:sz="0" w:space="0" w:color="auto"/>
            <w:right w:val="none" w:sz="0" w:space="0" w:color="auto"/>
          </w:divBdr>
        </w:div>
        <w:div w:id="80101467">
          <w:marLeft w:val="0"/>
          <w:marRight w:val="0"/>
          <w:marTop w:val="0"/>
          <w:marBottom w:val="0"/>
          <w:divBdr>
            <w:top w:val="none" w:sz="0" w:space="0" w:color="auto"/>
            <w:left w:val="none" w:sz="0" w:space="0" w:color="auto"/>
            <w:bottom w:val="none" w:sz="0" w:space="0" w:color="auto"/>
            <w:right w:val="none" w:sz="0" w:space="0" w:color="auto"/>
          </w:divBdr>
        </w:div>
        <w:div w:id="1873885462">
          <w:marLeft w:val="0"/>
          <w:marRight w:val="0"/>
          <w:marTop w:val="0"/>
          <w:marBottom w:val="0"/>
          <w:divBdr>
            <w:top w:val="none" w:sz="0" w:space="0" w:color="auto"/>
            <w:left w:val="none" w:sz="0" w:space="0" w:color="auto"/>
            <w:bottom w:val="none" w:sz="0" w:space="0" w:color="auto"/>
            <w:right w:val="none" w:sz="0" w:space="0" w:color="auto"/>
          </w:divBdr>
        </w:div>
        <w:div w:id="659772074">
          <w:marLeft w:val="0"/>
          <w:marRight w:val="0"/>
          <w:marTop w:val="0"/>
          <w:marBottom w:val="0"/>
          <w:divBdr>
            <w:top w:val="none" w:sz="0" w:space="0" w:color="auto"/>
            <w:left w:val="none" w:sz="0" w:space="0" w:color="auto"/>
            <w:bottom w:val="none" w:sz="0" w:space="0" w:color="auto"/>
            <w:right w:val="none" w:sz="0" w:space="0" w:color="auto"/>
          </w:divBdr>
        </w:div>
        <w:div w:id="1853033820">
          <w:marLeft w:val="0"/>
          <w:marRight w:val="0"/>
          <w:marTop w:val="0"/>
          <w:marBottom w:val="0"/>
          <w:divBdr>
            <w:top w:val="none" w:sz="0" w:space="0" w:color="auto"/>
            <w:left w:val="none" w:sz="0" w:space="0" w:color="auto"/>
            <w:bottom w:val="none" w:sz="0" w:space="0" w:color="auto"/>
            <w:right w:val="none" w:sz="0" w:space="0" w:color="auto"/>
          </w:divBdr>
        </w:div>
        <w:div w:id="59640667">
          <w:marLeft w:val="0"/>
          <w:marRight w:val="0"/>
          <w:marTop w:val="0"/>
          <w:marBottom w:val="0"/>
          <w:divBdr>
            <w:top w:val="none" w:sz="0" w:space="0" w:color="auto"/>
            <w:left w:val="none" w:sz="0" w:space="0" w:color="auto"/>
            <w:bottom w:val="none" w:sz="0" w:space="0" w:color="auto"/>
            <w:right w:val="none" w:sz="0" w:space="0" w:color="auto"/>
          </w:divBdr>
        </w:div>
        <w:div w:id="893076942">
          <w:marLeft w:val="0"/>
          <w:marRight w:val="0"/>
          <w:marTop w:val="0"/>
          <w:marBottom w:val="0"/>
          <w:divBdr>
            <w:top w:val="none" w:sz="0" w:space="0" w:color="auto"/>
            <w:left w:val="none" w:sz="0" w:space="0" w:color="auto"/>
            <w:bottom w:val="none" w:sz="0" w:space="0" w:color="auto"/>
            <w:right w:val="none" w:sz="0" w:space="0" w:color="auto"/>
          </w:divBdr>
        </w:div>
        <w:div w:id="99760940">
          <w:marLeft w:val="0"/>
          <w:marRight w:val="0"/>
          <w:marTop w:val="0"/>
          <w:marBottom w:val="0"/>
          <w:divBdr>
            <w:top w:val="none" w:sz="0" w:space="0" w:color="auto"/>
            <w:left w:val="none" w:sz="0" w:space="0" w:color="auto"/>
            <w:bottom w:val="none" w:sz="0" w:space="0" w:color="auto"/>
            <w:right w:val="none" w:sz="0" w:space="0" w:color="auto"/>
          </w:divBdr>
        </w:div>
        <w:div w:id="566306185">
          <w:marLeft w:val="0"/>
          <w:marRight w:val="0"/>
          <w:marTop w:val="0"/>
          <w:marBottom w:val="0"/>
          <w:divBdr>
            <w:top w:val="none" w:sz="0" w:space="0" w:color="auto"/>
            <w:left w:val="none" w:sz="0" w:space="0" w:color="auto"/>
            <w:bottom w:val="none" w:sz="0" w:space="0" w:color="auto"/>
            <w:right w:val="none" w:sz="0" w:space="0" w:color="auto"/>
          </w:divBdr>
        </w:div>
      </w:divsChild>
    </w:div>
    <w:div w:id="97533437">
      <w:bodyDiv w:val="1"/>
      <w:marLeft w:val="0"/>
      <w:marRight w:val="0"/>
      <w:marTop w:val="0"/>
      <w:marBottom w:val="0"/>
      <w:divBdr>
        <w:top w:val="none" w:sz="0" w:space="0" w:color="auto"/>
        <w:left w:val="none" w:sz="0" w:space="0" w:color="auto"/>
        <w:bottom w:val="none" w:sz="0" w:space="0" w:color="auto"/>
        <w:right w:val="none" w:sz="0" w:space="0" w:color="auto"/>
      </w:divBdr>
    </w:div>
    <w:div w:id="107237066">
      <w:bodyDiv w:val="1"/>
      <w:marLeft w:val="0"/>
      <w:marRight w:val="0"/>
      <w:marTop w:val="0"/>
      <w:marBottom w:val="0"/>
      <w:divBdr>
        <w:top w:val="none" w:sz="0" w:space="0" w:color="auto"/>
        <w:left w:val="none" w:sz="0" w:space="0" w:color="auto"/>
        <w:bottom w:val="none" w:sz="0" w:space="0" w:color="auto"/>
        <w:right w:val="none" w:sz="0" w:space="0" w:color="auto"/>
      </w:divBdr>
    </w:div>
    <w:div w:id="345861724">
      <w:bodyDiv w:val="1"/>
      <w:marLeft w:val="0"/>
      <w:marRight w:val="0"/>
      <w:marTop w:val="0"/>
      <w:marBottom w:val="0"/>
      <w:divBdr>
        <w:top w:val="none" w:sz="0" w:space="0" w:color="auto"/>
        <w:left w:val="none" w:sz="0" w:space="0" w:color="auto"/>
        <w:bottom w:val="none" w:sz="0" w:space="0" w:color="auto"/>
        <w:right w:val="none" w:sz="0" w:space="0" w:color="auto"/>
      </w:divBdr>
    </w:div>
    <w:div w:id="428745213">
      <w:bodyDiv w:val="1"/>
      <w:marLeft w:val="0"/>
      <w:marRight w:val="0"/>
      <w:marTop w:val="0"/>
      <w:marBottom w:val="0"/>
      <w:divBdr>
        <w:top w:val="none" w:sz="0" w:space="0" w:color="auto"/>
        <w:left w:val="none" w:sz="0" w:space="0" w:color="auto"/>
        <w:bottom w:val="none" w:sz="0" w:space="0" w:color="auto"/>
        <w:right w:val="none" w:sz="0" w:space="0" w:color="auto"/>
      </w:divBdr>
      <w:divsChild>
        <w:div w:id="2027709267">
          <w:marLeft w:val="0"/>
          <w:marRight w:val="0"/>
          <w:marTop w:val="0"/>
          <w:marBottom w:val="0"/>
          <w:divBdr>
            <w:top w:val="none" w:sz="0" w:space="0" w:color="auto"/>
            <w:left w:val="none" w:sz="0" w:space="0" w:color="auto"/>
            <w:bottom w:val="none" w:sz="0" w:space="0" w:color="auto"/>
            <w:right w:val="none" w:sz="0" w:space="0" w:color="auto"/>
          </w:divBdr>
        </w:div>
      </w:divsChild>
    </w:div>
    <w:div w:id="532351765">
      <w:bodyDiv w:val="1"/>
      <w:marLeft w:val="0"/>
      <w:marRight w:val="0"/>
      <w:marTop w:val="0"/>
      <w:marBottom w:val="0"/>
      <w:divBdr>
        <w:top w:val="none" w:sz="0" w:space="0" w:color="auto"/>
        <w:left w:val="none" w:sz="0" w:space="0" w:color="auto"/>
        <w:bottom w:val="none" w:sz="0" w:space="0" w:color="auto"/>
        <w:right w:val="none" w:sz="0" w:space="0" w:color="auto"/>
      </w:divBdr>
    </w:div>
    <w:div w:id="644555104">
      <w:bodyDiv w:val="1"/>
      <w:marLeft w:val="0"/>
      <w:marRight w:val="0"/>
      <w:marTop w:val="0"/>
      <w:marBottom w:val="0"/>
      <w:divBdr>
        <w:top w:val="none" w:sz="0" w:space="0" w:color="auto"/>
        <w:left w:val="none" w:sz="0" w:space="0" w:color="auto"/>
        <w:bottom w:val="none" w:sz="0" w:space="0" w:color="auto"/>
        <w:right w:val="none" w:sz="0" w:space="0" w:color="auto"/>
      </w:divBdr>
    </w:div>
    <w:div w:id="645937631">
      <w:bodyDiv w:val="1"/>
      <w:marLeft w:val="0"/>
      <w:marRight w:val="0"/>
      <w:marTop w:val="0"/>
      <w:marBottom w:val="0"/>
      <w:divBdr>
        <w:top w:val="none" w:sz="0" w:space="0" w:color="auto"/>
        <w:left w:val="none" w:sz="0" w:space="0" w:color="auto"/>
        <w:bottom w:val="none" w:sz="0" w:space="0" w:color="auto"/>
        <w:right w:val="none" w:sz="0" w:space="0" w:color="auto"/>
      </w:divBdr>
    </w:div>
    <w:div w:id="756832552">
      <w:bodyDiv w:val="1"/>
      <w:marLeft w:val="0"/>
      <w:marRight w:val="0"/>
      <w:marTop w:val="0"/>
      <w:marBottom w:val="0"/>
      <w:divBdr>
        <w:top w:val="none" w:sz="0" w:space="0" w:color="auto"/>
        <w:left w:val="none" w:sz="0" w:space="0" w:color="auto"/>
        <w:bottom w:val="none" w:sz="0" w:space="0" w:color="auto"/>
        <w:right w:val="none" w:sz="0" w:space="0" w:color="auto"/>
      </w:divBdr>
    </w:div>
    <w:div w:id="813915866">
      <w:bodyDiv w:val="1"/>
      <w:marLeft w:val="0"/>
      <w:marRight w:val="0"/>
      <w:marTop w:val="0"/>
      <w:marBottom w:val="0"/>
      <w:divBdr>
        <w:top w:val="none" w:sz="0" w:space="0" w:color="auto"/>
        <w:left w:val="none" w:sz="0" w:space="0" w:color="auto"/>
        <w:bottom w:val="none" w:sz="0" w:space="0" w:color="auto"/>
        <w:right w:val="none" w:sz="0" w:space="0" w:color="auto"/>
      </w:divBdr>
    </w:div>
    <w:div w:id="988094258">
      <w:bodyDiv w:val="1"/>
      <w:marLeft w:val="0"/>
      <w:marRight w:val="0"/>
      <w:marTop w:val="0"/>
      <w:marBottom w:val="0"/>
      <w:divBdr>
        <w:top w:val="none" w:sz="0" w:space="0" w:color="auto"/>
        <w:left w:val="none" w:sz="0" w:space="0" w:color="auto"/>
        <w:bottom w:val="none" w:sz="0" w:space="0" w:color="auto"/>
        <w:right w:val="none" w:sz="0" w:space="0" w:color="auto"/>
      </w:divBdr>
    </w:div>
    <w:div w:id="1199125096">
      <w:bodyDiv w:val="1"/>
      <w:marLeft w:val="0"/>
      <w:marRight w:val="0"/>
      <w:marTop w:val="0"/>
      <w:marBottom w:val="0"/>
      <w:divBdr>
        <w:top w:val="none" w:sz="0" w:space="0" w:color="auto"/>
        <w:left w:val="none" w:sz="0" w:space="0" w:color="auto"/>
        <w:bottom w:val="none" w:sz="0" w:space="0" w:color="auto"/>
        <w:right w:val="none" w:sz="0" w:space="0" w:color="auto"/>
      </w:divBdr>
    </w:div>
    <w:div w:id="1256673653">
      <w:bodyDiv w:val="1"/>
      <w:marLeft w:val="0"/>
      <w:marRight w:val="0"/>
      <w:marTop w:val="0"/>
      <w:marBottom w:val="0"/>
      <w:divBdr>
        <w:top w:val="none" w:sz="0" w:space="0" w:color="auto"/>
        <w:left w:val="none" w:sz="0" w:space="0" w:color="auto"/>
        <w:bottom w:val="none" w:sz="0" w:space="0" w:color="auto"/>
        <w:right w:val="none" w:sz="0" w:space="0" w:color="auto"/>
      </w:divBdr>
    </w:div>
    <w:div w:id="1406760531">
      <w:bodyDiv w:val="1"/>
      <w:marLeft w:val="0"/>
      <w:marRight w:val="0"/>
      <w:marTop w:val="0"/>
      <w:marBottom w:val="0"/>
      <w:divBdr>
        <w:top w:val="none" w:sz="0" w:space="0" w:color="auto"/>
        <w:left w:val="none" w:sz="0" w:space="0" w:color="auto"/>
        <w:bottom w:val="none" w:sz="0" w:space="0" w:color="auto"/>
        <w:right w:val="none" w:sz="0" w:space="0" w:color="auto"/>
      </w:divBdr>
    </w:div>
    <w:div w:id="1526334444">
      <w:bodyDiv w:val="1"/>
      <w:marLeft w:val="0"/>
      <w:marRight w:val="0"/>
      <w:marTop w:val="0"/>
      <w:marBottom w:val="0"/>
      <w:divBdr>
        <w:top w:val="none" w:sz="0" w:space="0" w:color="auto"/>
        <w:left w:val="none" w:sz="0" w:space="0" w:color="auto"/>
        <w:bottom w:val="none" w:sz="0" w:space="0" w:color="auto"/>
        <w:right w:val="none" w:sz="0" w:space="0" w:color="auto"/>
      </w:divBdr>
    </w:div>
    <w:div w:id="1720014235">
      <w:bodyDiv w:val="1"/>
      <w:marLeft w:val="0"/>
      <w:marRight w:val="0"/>
      <w:marTop w:val="0"/>
      <w:marBottom w:val="0"/>
      <w:divBdr>
        <w:top w:val="none" w:sz="0" w:space="0" w:color="auto"/>
        <w:left w:val="none" w:sz="0" w:space="0" w:color="auto"/>
        <w:bottom w:val="none" w:sz="0" w:space="0" w:color="auto"/>
        <w:right w:val="none" w:sz="0" w:space="0" w:color="auto"/>
      </w:divBdr>
      <w:divsChild>
        <w:div w:id="1629362722">
          <w:marLeft w:val="0"/>
          <w:marRight w:val="0"/>
          <w:marTop w:val="0"/>
          <w:marBottom w:val="0"/>
          <w:divBdr>
            <w:top w:val="none" w:sz="0" w:space="0" w:color="auto"/>
            <w:left w:val="none" w:sz="0" w:space="0" w:color="auto"/>
            <w:bottom w:val="none" w:sz="0" w:space="0" w:color="auto"/>
            <w:right w:val="none" w:sz="0" w:space="0" w:color="auto"/>
          </w:divBdr>
        </w:div>
        <w:div w:id="382606922">
          <w:marLeft w:val="0"/>
          <w:marRight w:val="0"/>
          <w:marTop w:val="0"/>
          <w:marBottom w:val="0"/>
          <w:divBdr>
            <w:top w:val="none" w:sz="0" w:space="0" w:color="auto"/>
            <w:left w:val="none" w:sz="0" w:space="0" w:color="auto"/>
            <w:bottom w:val="none" w:sz="0" w:space="0" w:color="auto"/>
            <w:right w:val="none" w:sz="0" w:space="0" w:color="auto"/>
          </w:divBdr>
        </w:div>
        <w:div w:id="517086350">
          <w:marLeft w:val="0"/>
          <w:marRight w:val="0"/>
          <w:marTop w:val="0"/>
          <w:marBottom w:val="0"/>
          <w:divBdr>
            <w:top w:val="none" w:sz="0" w:space="0" w:color="auto"/>
            <w:left w:val="none" w:sz="0" w:space="0" w:color="auto"/>
            <w:bottom w:val="none" w:sz="0" w:space="0" w:color="auto"/>
            <w:right w:val="none" w:sz="0" w:space="0" w:color="auto"/>
          </w:divBdr>
        </w:div>
        <w:div w:id="309134099">
          <w:marLeft w:val="0"/>
          <w:marRight w:val="0"/>
          <w:marTop w:val="0"/>
          <w:marBottom w:val="0"/>
          <w:divBdr>
            <w:top w:val="none" w:sz="0" w:space="0" w:color="auto"/>
            <w:left w:val="none" w:sz="0" w:space="0" w:color="auto"/>
            <w:bottom w:val="none" w:sz="0" w:space="0" w:color="auto"/>
            <w:right w:val="none" w:sz="0" w:space="0" w:color="auto"/>
          </w:divBdr>
        </w:div>
        <w:div w:id="34697517">
          <w:marLeft w:val="0"/>
          <w:marRight w:val="0"/>
          <w:marTop w:val="0"/>
          <w:marBottom w:val="0"/>
          <w:divBdr>
            <w:top w:val="none" w:sz="0" w:space="0" w:color="auto"/>
            <w:left w:val="none" w:sz="0" w:space="0" w:color="auto"/>
            <w:bottom w:val="none" w:sz="0" w:space="0" w:color="auto"/>
            <w:right w:val="none" w:sz="0" w:space="0" w:color="auto"/>
          </w:divBdr>
        </w:div>
        <w:div w:id="1740208618">
          <w:marLeft w:val="0"/>
          <w:marRight w:val="0"/>
          <w:marTop w:val="0"/>
          <w:marBottom w:val="0"/>
          <w:divBdr>
            <w:top w:val="none" w:sz="0" w:space="0" w:color="auto"/>
            <w:left w:val="none" w:sz="0" w:space="0" w:color="auto"/>
            <w:bottom w:val="none" w:sz="0" w:space="0" w:color="auto"/>
            <w:right w:val="none" w:sz="0" w:space="0" w:color="auto"/>
          </w:divBdr>
        </w:div>
        <w:div w:id="913273498">
          <w:marLeft w:val="0"/>
          <w:marRight w:val="0"/>
          <w:marTop w:val="0"/>
          <w:marBottom w:val="0"/>
          <w:divBdr>
            <w:top w:val="none" w:sz="0" w:space="0" w:color="auto"/>
            <w:left w:val="none" w:sz="0" w:space="0" w:color="auto"/>
            <w:bottom w:val="none" w:sz="0" w:space="0" w:color="auto"/>
            <w:right w:val="none" w:sz="0" w:space="0" w:color="auto"/>
          </w:divBdr>
        </w:div>
        <w:div w:id="449667791">
          <w:marLeft w:val="0"/>
          <w:marRight w:val="0"/>
          <w:marTop w:val="0"/>
          <w:marBottom w:val="0"/>
          <w:divBdr>
            <w:top w:val="none" w:sz="0" w:space="0" w:color="auto"/>
            <w:left w:val="none" w:sz="0" w:space="0" w:color="auto"/>
            <w:bottom w:val="none" w:sz="0" w:space="0" w:color="auto"/>
            <w:right w:val="none" w:sz="0" w:space="0" w:color="auto"/>
          </w:divBdr>
        </w:div>
        <w:div w:id="1306087496">
          <w:marLeft w:val="0"/>
          <w:marRight w:val="0"/>
          <w:marTop w:val="0"/>
          <w:marBottom w:val="0"/>
          <w:divBdr>
            <w:top w:val="none" w:sz="0" w:space="0" w:color="auto"/>
            <w:left w:val="none" w:sz="0" w:space="0" w:color="auto"/>
            <w:bottom w:val="none" w:sz="0" w:space="0" w:color="auto"/>
            <w:right w:val="none" w:sz="0" w:space="0" w:color="auto"/>
          </w:divBdr>
        </w:div>
        <w:div w:id="1919358948">
          <w:marLeft w:val="0"/>
          <w:marRight w:val="0"/>
          <w:marTop w:val="0"/>
          <w:marBottom w:val="0"/>
          <w:divBdr>
            <w:top w:val="none" w:sz="0" w:space="0" w:color="auto"/>
            <w:left w:val="none" w:sz="0" w:space="0" w:color="auto"/>
            <w:bottom w:val="none" w:sz="0" w:space="0" w:color="auto"/>
            <w:right w:val="none" w:sz="0" w:space="0" w:color="auto"/>
          </w:divBdr>
        </w:div>
        <w:div w:id="653801991">
          <w:marLeft w:val="0"/>
          <w:marRight w:val="0"/>
          <w:marTop w:val="0"/>
          <w:marBottom w:val="0"/>
          <w:divBdr>
            <w:top w:val="none" w:sz="0" w:space="0" w:color="auto"/>
            <w:left w:val="none" w:sz="0" w:space="0" w:color="auto"/>
            <w:bottom w:val="none" w:sz="0" w:space="0" w:color="auto"/>
            <w:right w:val="none" w:sz="0" w:space="0" w:color="auto"/>
          </w:divBdr>
        </w:div>
        <w:div w:id="668142155">
          <w:marLeft w:val="0"/>
          <w:marRight w:val="0"/>
          <w:marTop w:val="0"/>
          <w:marBottom w:val="0"/>
          <w:divBdr>
            <w:top w:val="none" w:sz="0" w:space="0" w:color="auto"/>
            <w:left w:val="none" w:sz="0" w:space="0" w:color="auto"/>
            <w:bottom w:val="none" w:sz="0" w:space="0" w:color="auto"/>
            <w:right w:val="none" w:sz="0" w:space="0" w:color="auto"/>
          </w:divBdr>
        </w:div>
        <w:div w:id="1874346629">
          <w:marLeft w:val="0"/>
          <w:marRight w:val="0"/>
          <w:marTop w:val="0"/>
          <w:marBottom w:val="0"/>
          <w:divBdr>
            <w:top w:val="none" w:sz="0" w:space="0" w:color="auto"/>
            <w:left w:val="none" w:sz="0" w:space="0" w:color="auto"/>
            <w:bottom w:val="none" w:sz="0" w:space="0" w:color="auto"/>
            <w:right w:val="none" w:sz="0" w:space="0" w:color="auto"/>
          </w:divBdr>
        </w:div>
        <w:div w:id="1982341688">
          <w:marLeft w:val="0"/>
          <w:marRight w:val="0"/>
          <w:marTop w:val="0"/>
          <w:marBottom w:val="0"/>
          <w:divBdr>
            <w:top w:val="none" w:sz="0" w:space="0" w:color="auto"/>
            <w:left w:val="none" w:sz="0" w:space="0" w:color="auto"/>
            <w:bottom w:val="none" w:sz="0" w:space="0" w:color="auto"/>
            <w:right w:val="none" w:sz="0" w:space="0" w:color="auto"/>
          </w:divBdr>
        </w:div>
        <w:div w:id="1184904891">
          <w:marLeft w:val="0"/>
          <w:marRight w:val="0"/>
          <w:marTop w:val="0"/>
          <w:marBottom w:val="0"/>
          <w:divBdr>
            <w:top w:val="none" w:sz="0" w:space="0" w:color="auto"/>
            <w:left w:val="none" w:sz="0" w:space="0" w:color="auto"/>
            <w:bottom w:val="none" w:sz="0" w:space="0" w:color="auto"/>
            <w:right w:val="none" w:sz="0" w:space="0" w:color="auto"/>
          </w:divBdr>
        </w:div>
        <w:div w:id="864175678">
          <w:marLeft w:val="0"/>
          <w:marRight w:val="0"/>
          <w:marTop w:val="0"/>
          <w:marBottom w:val="0"/>
          <w:divBdr>
            <w:top w:val="none" w:sz="0" w:space="0" w:color="auto"/>
            <w:left w:val="none" w:sz="0" w:space="0" w:color="auto"/>
            <w:bottom w:val="none" w:sz="0" w:space="0" w:color="auto"/>
            <w:right w:val="none" w:sz="0" w:space="0" w:color="auto"/>
          </w:divBdr>
        </w:div>
      </w:divsChild>
    </w:div>
    <w:div w:id="1842088723">
      <w:bodyDiv w:val="1"/>
      <w:marLeft w:val="0"/>
      <w:marRight w:val="0"/>
      <w:marTop w:val="0"/>
      <w:marBottom w:val="0"/>
      <w:divBdr>
        <w:top w:val="none" w:sz="0" w:space="0" w:color="auto"/>
        <w:left w:val="none" w:sz="0" w:space="0" w:color="auto"/>
        <w:bottom w:val="none" w:sz="0" w:space="0" w:color="auto"/>
        <w:right w:val="none" w:sz="0" w:space="0" w:color="auto"/>
      </w:divBdr>
    </w:div>
    <w:div w:id="1961373526">
      <w:bodyDiv w:val="1"/>
      <w:marLeft w:val="0"/>
      <w:marRight w:val="0"/>
      <w:marTop w:val="0"/>
      <w:marBottom w:val="0"/>
      <w:divBdr>
        <w:top w:val="none" w:sz="0" w:space="0" w:color="auto"/>
        <w:left w:val="none" w:sz="0" w:space="0" w:color="auto"/>
        <w:bottom w:val="none" w:sz="0" w:space="0" w:color="auto"/>
        <w:right w:val="none" w:sz="0" w:space="0" w:color="auto"/>
      </w:divBdr>
    </w:div>
    <w:div w:id="1962026789">
      <w:bodyDiv w:val="1"/>
      <w:marLeft w:val="0"/>
      <w:marRight w:val="0"/>
      <w:marTop w:val="0"/>
      <w:marBottom w:val="0"/>
      <w:divBdr>
        <w:top w:val="none" w:sz="0" w:space="0" w:color="auto"/>
        <w:left w:val="none" w:sz="0" w:space="0" w:color="auto"/>
        <w:bottom w:val="none" w:sz="0" w:space="0" w:color="auto"/>
        <w:right w:val="none" w:sz="0" w:space="0" w:color="auto"/>
      </w:divBdr>
    </w:div>
    <w:div w:id="198492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central-grou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l-group.cz/proc-central-group" TargetMode="External"/><Relationship Id="rId5" Type="http://schemas.openxmlformats.org/officeDocument/2006/relationships/webSettings" Target="webSettings.xml"/><Relationship Id="rId10" Type="http://schemas.openxmlformats.org/officeDocument/2006/relationships/hyperlink" Target="http://www.central-group.cz/tiskove-zpravy" TargetMode="External"/><Relationship Id="rId4" Type="http://schemas.openxmlformats.org/officeDocument/2006/relationships/settings" Target="settings.xml"/><Relationship Id="rId9" Type="http://schemas.openxmlformats.org/officeDocument/2006/relationships/hyperlink" Target="file:///C:\Users\jemelka\AppData\Local\Temp\www.central-group.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E385B-F086-41EF-8F85-8B3BF588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778</Words>
  <Characters>4595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jankovsky</dc:creator>
  <cp:lastModifiedBy>fialkova</cp:lastModifiedBy>
  <cp:revision>5</cp:revision>
  <cp:lastPrinted>2017-04-05T08:13:00Z</cp:lastPrinted>
  <dcterms:created xsi:type="dcterms:W3CDTF">2017-07-11T07:57:00Z</dcterms:created>
  <dcterms:modified xsi:type="dcterms:W3CDTF">2017-07-11T14:12:00Z</dcterms:modified>
</cp:coreProperties>
</file>