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E27A8B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291465</wp:posOffset>
                </wp:positionV>
                <wp:extent cx="4340860" cy="0"/>
                <wp:effectExtent l="9525" t="11430" r="12065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06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22.95pt;width:341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"/>
            </w:pict>
          </mc:Fallback>
        </mc:AlternateConten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167EA3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</w:t>
      </w:r>
      <w:r w:rsidR="00D05C00">
        <w:rPr>
          <w:color w:val="17365D"/>
          <w:sz w:val="30"/>
          <w:szCs w:val="30"/>
        </w:rPr>
        <w:t>7</w:t>
      </w:r>
      <w:r w:rsidR="00FF22D6">
        <w:rPr>
          <w:color w:val="17365D"/>
          <w:sz w:val="30"/>
          <w:szCs w:val="30"/>
        </w:rPr>
        <w:t>.2.2015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167EA3" w:rsidRDefault="00C97FF5" w:rsidP="00573A57">
      <w:pPr>
        <w:spacing w:after="0"/>
        <w:rPr>
          <w:rFonts w:ascii="Arial Black" w:hAnsi="Arial Black"/>
          <w:color w:val="000000" w:themeColor="text1"/>
          <w:sz w:val="34"/>
          <w:szCs w:val="34"/>
        </w:rPr>
      </w:pPr>
      <w:r>
        <w:rPr>
          <w:rFonts w:ascii="Arial Black" w:hAnsi="Arial Black"/>
          <w:color w:val="000000" w:themeColor="text1"/>
          <w:sz w:val="34"/>
          <w:szCs w:val="34"/>
        </w:rPr>
        <w:t xml:space="preserve">Češi skupují dokončené byty a domy. Za necelý měsíc prodal </w:t>
      </w:r>
      <w:r w:rsidR="00167EA3" w:rsidRPr="00167EA3">
        <w:rPr>
          <w:rFonts w:ascii="Arial Black" w:hAnsi="Arial Black"/>
          <w:color w:val="000000" w:themeColor="text1"/>
          <w:sz w:val="34"/>
          <w:szCs w:val="34"/>
        </w:rPr>
        <w:t xml:space="preserve">CENTRAL GROUP </w:t>
      </w:r>
      <w:r>
        <w:rPr>
          <w:rFonts w:ascii="Arial Black" w:hAnsi="Arial Black"/>
          <w:color w:val="000000" w:themeColor="text1"/>
          <w:sz w:val="34"/>
          <w:szCs w:val="34"/>
        </w:rPr>
        <w:t xml:space="preserve">v rámci zimní CENOVÉ AKCE </w:t>
      </w:r>
      <w:r w:rsidR="00017032">
        <w:rPr>
          <w:rFonts w:ascii="Arial Black" w:hAnsi="Arial Black"/>
          <w:color w:val="000000" w:themeColor="text1"/>
          <w:sz w:val="34"/>
          <w:szCs w:val="34"/>
        </w:rPr>
        <w:t xml:space="preserve">již </w:t>
      </w:r>
      <w:r w:rsidR="00D05C00">
        <w:rPr>
          <w:rFonts w:ascii="Arial Black" w:hAnsi="Arial Black"/>
          <w:color w:val="000000" w:themeColor="text1"/>
          <w:sz w:val="34"/>
          <w:szCs w:val="34"/>
        </w:rPr>
        <w:t>více než</w:t>
      </w:r>
      <w:r w:rsidR="00573A57" w:rsidRPr="00A66AAD">
        <w:rPr>
          <w:rFonts w:ascii="Arial Black" w:hAnsi="Arial Black"/>
          <w:color w:val="FF0000"/>
          <w:sz w:val="34"/>
          <w:szCs w:val="34"/>
        </w:rPr>
        <w:t xml:space="preserve"> </w:t>
      </w:r>
      <w:r w:rsidR="00573A57" w:rsidRPr="00017032">
        <w:rPr>
          <w:rFonts w:ascii="Arial Black" w:hAnsi="Arial Black"/>
          <w:color w:val="000000" w:themeColor="text1"/>
          <w:sz w:val="34"/>
          <w:szCs w:val="34"/>
        </w:rPr>
        <w:t>100</w:t>
      </w:r>
      <w:r w:rsidRPr="00017032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>
        <w:rPr>
          <w:rFonts w:ascii="Arial Black" w:hAnsi="Arial Black"/>
          <w:color w:val="000000" w:themeColor="text1"/>
          <w:sz w:val="34"/>
          <w:szCs w:val="34"/>
        </w:rPr>
        <w:t>nemovitostí</w:t>
      </w:r>
    </w:p>
    <w:p w:rsidR="00FF22D6" w:rsidRPr="00FF22D6" w:rsidRDefault="00FF22D6" w:rsidP="00D763B7">
      <w:pPr>
        <w:spacing w:after="0"/>
        <w:rPr>
          <w:rFonts w:ascii="Arial Black" w:hAnsi="Arial Black"/>
          <w:color w:val="000000" w:themeColor="text1"/>
        </w:rPr>
      </w:pPr>
    </w:p>
    <w:p w:rsidR="00FF22D6" w:rsidRPr="00C97FF5" w:rsidRDefault="00167EA3" w:rsidP="00FF22D6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1</w:t>
      </w:r>
      <w:r w:rsidR="00D05C00">
        <w:rPr>
          <w:rFonts w:ascii="Arial" w:hAnsi="Arial" w:cs="Arial"/>
          <w:i/>
          <w:sz w:val="24"/>
          <w:szCs w:val="24"/>
          <w:lang w:eastAsia="cs-CZ"/>
        </w:rPr>
        <w:t>7</w:t>
      </w:r>
      <w:r w:rsidR="00FF22D6">
        <w:rPr>
          <w:rFonts w:ascii="Arial" w:hAnsi="Arial" w:cs="Arial"/>
          <w:i/>
          <w:sz w:val="24"/>
          <w:szCs w:val="24"/>
          <w:lang w:eastAsia="cs-CZ"/>
        </w:rPr>
        <w:t>.2</w:t>
      </w:r>
      <w:r w:rsidR="00ED31C9">
        <w:rPr>
          <w:rFonts w:ascii="Arial" w:hAnsi="Arial" w:cs="Arial"/>
          <w:i/>
          <w:sz w:val="24"/>
          <w:szCs w:val="24"/>
          <w:lang w:eastAsia="cs-CZ"/>
        </w:rPr>
        <w:t>.2015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97FF5" w:rsidRPr="00C97FF5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Přesně čtyři týdny po zahájení zimní CENOVÉ AKCE -5 % našlo nové majitele již </w:t>
      </w:r>
      <w:r w:rsidR="00017032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přes 100</w:t>
      </w:r>
      <w:r w:rsidR="00A66AAD">
        <w:rPr>
          <w:rFonts w:ascii="Arial" w:hAnsi="Arial" w:cs="Arial"/>
          <w:b/>
          <w:color w:val="FF0000"/>
          <w:sz w:val="24"/>
          <w:szCs w:val="24"/>
          <w:lang w:eastAsia="cs-CZ"/>
        </w:rPr>
        <w:t xml:space="preserve"> </w:t>
      </w:r>
      <w:r w:rsidR="00C97FF5" w:rsidRPr="00C97FF5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dokončených bytů a rodinných domů z nabídky společnosti CENTRAL GROUP. </w:t>
      </w:r>
      <w:r w:rsidR="00017032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Přesně</w:t>
      </w:r>
      <w:r w:rsidR="00D05C00" w:rsidRPr="00D05C00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D05C00" w:rsidRPr="00017032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70 </w:t>
      </w:r>
      <w:r w:rsidR="00017032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je reálně</w:t>
      </w:r>
      <w:r w:rsidR="00D05C00" w:rsidRPr="00D05C00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prodáno, dalších </w:t>
      </w:r>
      <w:r w:rsidR="00017032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35</w:t>
      </w:r>
      <w:r w:rsidR="00D05C00" w:rsidRPr="00017032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D05C00" w:rsidRPr="00D05C00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je </w:t>
      </w:r>
      <w:r w:rsidR="00017032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již </w:t>
      </w:r>
      <w:r w:rsidR="00D05C00" w:rsidRPr="00D05C00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nyní rezervováno. </w:t>
      </w:r>
      <w:r w:rsidR="00FF22D6" w:rsidRPr="00C97FF5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Největší český rezidenční developer a investor </w:t>
      </w:r>
      <w:r w:rsidR="00C97FF5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tak úspěšně doprodává poslední volné byty v dokončených projektech před uvedením nových lokalit, které plánuje na březen</w:t>
      </w:r>
      <w:r w:rsidR="00136DD9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letošního roku</w:t>
      </w:r>
      <w:r w:rsidR="00C97FF5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  <w:r w:rsidR="00621B9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Hlavními tahouny poptávky jsou rekordně levné </w:t>
      </w:r>
      <w:r w:rsidR="00A66AA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hypotéky</w:t>
      </w:r>
      <w:r w:rsidR="00D05C00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a</w:t>
      </w:r>
      <w:r w:rsidR="00A66AA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nákupy na investici</w:t>
      </w:r>
      <w:r w:rsidR="00621B9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</w:p>
    <w:p w:rsidR="00167EA3" w:rsidRPr="00CF181B" w:rsidRDefault="00167EA3" w:rsidP="00FF22D6">
      <w:pPr>
        <w:spacing w:after="0"/>
        <w:contextualSpacing/>
        <w:jc w:val="both"/>
        <w:rPr>
          <w:rFonts w:ascii="Arial" w:hAnsi="Arial" w:cs="Arial"/>
          <w:b/>
          <w:color w:val="FF0000"/>
          <w:sz w:val="24"/>
          <w:szCs w:val="24"/>
          <w:lang w:eastAsia="cs-CZ"/>
        </w:rPr>
      </w:pPr>
    </w:p>
    <w:p w:rsidR="00136DD9" w:rsidRDefault="00136DD9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V rámci zimní CENOVÉ AKCE nabídl CENTRAL GROUP více než 170 bytů a rodinných domů připravených k okamžitému nastěhování, a to s bonusem 5 % z kupní ceny nebo s možností zaplatit až za </w:t>
      </w:r>
      <w:r w:rsidR="00621B9E">
        <w:rPr>
          <w:rFonts w:ascii="Arial" w:hAnsi="Arial" w:cs="Arial"/>
          <w:color w:val="000000" w:themeColor="text1"/>
          <w:lang w:eastAsia="cs-CZ"/>
        </w:rPr>
        <w:t xml:space="preserve">1 </w:t>
      </w:r>
      <w:r>
        <w:rPr>
          <w:rFonts w:ascii="Arial" w:hAnsi="Arial" w:cs="Arial"/>
          <w:color w:val="000000" w:themeColor="text1"/>
          <w:lang w:eastAsia="cs-CZ"/>
        </w:rPr>
        <w:t xml:space="preserve">rok po nastěhování bez navýšení. Časově omezená nabídka se týká celkem 8 lokalit v Praze a okolí a vzhledem k tempu prodeje potrvá </w:t>
      </w:r>
      <w:r w:rsidR="000D7AAD">
        <w:rPr>
          <w:rFonts w:ascii="Arial" w:hAnsi="Arial" w:cs="Arial"/>
          <w:color w:val="000000" w:themeColor="text1"/>
          <w:lang w:eastAsia="cs-CZ"/>
        </w:rPr>
        <w:t xml:space="preserve">již </w:t>
      </w:r>
      <w:r>
        <w:rPr>
          <w:rFonts w:ascii="Arial" w:hAnsi="Arial" w:cs="Arial"/>
          <w:color w:val="000000" w:themeColor="text1"/>
          <w:lang w:eastAsia="cs-CZ"/>
        </w:rPr>
        <w:t>jen do konce února.</w:t>
      </w:r>
      <w:r w:rsidR="00BA3F4B">
        <w:rPr>
          <w:rFonts w:ascii="Arial" w:hAnsi="Arial" w:cs="Arial"/>
          <w:color w:val="000000" w:themeColor="text1"/>
          <w:lang w:eastAsia="cs-CZ"/>
        </w:rPr>
        <w:t xml:space="preserve"> Zájemci tak mají posledních </w:t>
      </w:r>
      <w:r w:rsidR="00621B9E">
        <w:rPr>
          <w:rFonts w:ascii="Arial" w:hAnsi="Arial" w:cs="Arial"/>
          <w:color w:val="000000" w:themeColor="text1"/>
          <w:lang w:eastAsia="cs-CZ"/>
        </w:rPr>
        <w:t xml:space="preserve">zhruba </w:t>
      </w:r>
      <w:r w:rsidR="00BA3F4B">
        <w:rPr>
          <w:rFonts w:ascii="Arial" w:hAnsi="Arial" w:cs="Arial"/>
          <w:color w:val="000000" w:themeColor="text1"/>
          <w:lang w:eastAsia="cs-CZ"/>
        </w:rPr>
        <w:t>14 dnů na to, aby si vybrali nové bydlení za nejvýhodnějších podmínek.</w:t>
      </w:r>
    </w:p>
    <w:p w:rsidR="00B21B82" w:rsidRDefault="00B21B82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D05C00" w:rsidRDefault="00B21B82" w:rsidP="00B21B8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Pr="00BA3F4B">
        <w:rPr>
          <w:rFonts w:ascii="Arial" w:hAnsi="Arial" w:cs="Arial"/>
          <w:lang w:eastAsia="cs-CZ"/>
        </w:rPr>
        <w:t xml:space="preserve">ybírat </w:t>
      </w:r>
      <w:r>
        <w:rPr>
          <w:rFonts w:ascii="Arial" w:hAnsi="Arial" w:cs="Arial"/>
          <w:lang w:eastAsia="cs-CZ"/>
        </w:rPr>
        <w:t xml:space="preserve">mohou </w:t>
      </w:r>
      <w:r w:rsidRPr="00BA3F4B">
        <w:rPr>
          <w:rFonts w:ascii="Arial" w:hAnsi="Arial" w:cs="Arial"/>
          <w:lang w:eastAsia="cs-CZ"/>
        </w:rPr>
        <w:t>z posledních volných jednotek v lokalitách Prahy 5 – Zličína, Prahy 6 – Břevnova, Prahy 9 – Letňan a ve dvou lokalitách v Praze 10 – v Horních Měcholupech a Pitkovicích. Poslední volné dokončené rodinné domy pak CENTRAL GROUP nabízí rovněž v Praze 10 – Pitkovicích a také v Brandýse.</w:t>
      </w:r>
      <w:r w:rsidR="00621B9E">
        <w:rPr>
          <w:rFonts w:ascii="Arial" w:hAnsi="Arial" w:cs="Arial"/>
          <w:lang w:eastAsia="cs-CZ"/>
        </w:rPr>
        <w:t xml:space="preserve"> </w:t>
      </w:r>
    </w:p>
    <w:p w:rsidR="00D05C00" w:rsidRDefault="00D05C00" w:rsidP="00B21B8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21B82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BA3F4B">
        <w:rPr>
          <w:rFonts w:ascii="Arial" w:hAnsi="Arial" w:cs="Arial"/>
          <w:lang w:eastAsia="cs-CZ"/>
        </w:rPr>
        <w:t>K dispozici je kompletní nabídka bytů od 1+kk až po 4+kk a jejich ceny začínají již na 1,7 mil. Kč včetně DPH, sklepa a vnitřního parkovacího stání. Ceny rodinných domů s garáží pak startují na 4,2 mil. Kč včetně DPH a pozemku.</w:t>
      </w:r>
    </w:p>
    <w:p w:rsidR="00136DD9" w:rsidRDefault="00136DD9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136DD9" w:rsidRDefault="00136DD9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136DD9">
        <w:rPr>
          <w:rFonts w:ascii="Arial" w:hAnsi="Arial" w:cs="Arial"/>
          <w:i/>
          <w:color w:val="000000" w:themeColor="text1"/>
          <w:lang w:eastAsia="cs-CZ"/>
        </w:rPr>
        <w:t xml:space="preserve">„Jako lídr trhu musíme nabízet dostatečný výběr bytů a domů nejen ve fázi výstavby, ale také již dokončených a připravených ihned k nastěhování. Proto </w:t>
      </w:r>
      <w:r w:rsidR="00BA3F4B">
        <w:rPr>
          <w:rFonts w:ascii="Arial" w:hAnsi="Arial" w:cs="Arial"/>
          <w:i/>
          <w:color w:val="000000" w:themeColor="text1"/>
          <w:lang w:eastAsia="cs-CZ"/>
        </w:rPr>
        <w:t xml:space="preserve">je naší prodejní strategií mít </w:t>
      </w:r>
      <w:r w:rsidRPr="00136DD9">
        <w:rPr>
          <w:rFonts w:ascii="Arial" w:hAnsi="Arial" w:cs="Arial"/>
          <w:i/>
          <w:color w:val="000000" w:themeColor="text1"/>
          <w:lang w:eastAsia="cs-CZ"/>
        </w:rPr>
        <w:t>ve</w:t>
      </w:r>
      <w:r w:rsidR="00BA3F4B">
        <w:rPr>
          <w:rFonts w:ascii="Arial" w:hAnsi="Arial" w:cs="Arial"/>
          <w:i/>
          <w:color w:val="000000" w:themeColor="text1"/>
          <w:lang w:eastAsia="cs-CZ"/>
        </w:rPr>
        <w:t xml:space="preserve"> všech </w:t>
      </w:r>
      <w:r w:rsidRPr="00136DD9">
        <w:rPr>
          <w:rFonts w:ascii="Arial" w:hAnsi="Arial" w:cs="Arial"/>
          <w:i/>
          <w:color w:val="000000" w:themeColor="text1"/>
          <w:lang w:eastAsia="cs-CZ"/>
        </w:rPr>
        <w:t xml:space="preserve">velkých lokalitách zhruba 10-20 % volných bytů </w:t>
      </w:r>
      <w:r w:rsidR="00A66AAD">
        <w:rPr>
          <w:rFonts w:ascii="Arial" w:hAnsi="Arial" w:cs="Arial"/>
          <w:i/>
          <w:color w:val="000000" w:themeColor="text1"/>
          <w:lang w:eastAsia="cs-CZ"/>
        </w:rPr>
        <w:t xml:space="preserve">k dispozici </w:t>
      </w:r>
      <w:r w:rsidRPr="00136DD9">
        <w:rPr>
          <w:rFonts w:ascii="Arial" w:hAnsi="Arial" w:cs="Arial"/>
          <w:i/>
          <w:color w:val="000000" w:themeColor="text1"/>
          <w:lang w:eastAsia="cs-CZ"/>
        </w:rPr>
        <w:t>i po dokončení stavby s tím, že se postupně doprodají</w:t>
      </w:r>
      <w:r>
        <w:rPr>
          <w:rFonts w:ascii="Arial" w:hAnsi="Arial" w:cs="Arial"/>
          <w:i/>
          <w:color w:val="000000" w:themeColor="text1"/>
          <w:lang w:eastAsia="cs-CZ"/>
        </w:rPr>
        <w:t xml:space="preserve">. Tempo prodejů odpovídající </w:t>
      </w:r>
      <w:r w:rsidR="00D05C00">
        <w:rPr>
          <w:rFonts w:ascii="Arial" w:hAnsi="Arial" w:cs="Arial"/>
          <w:i/>
          <w:color w:val="000000" w:themeColor="text1"/>
          <w:lang w:eastAsia="cs-CZ"/>
        </w:rPr>
        <w:t>téměř čty</w:t>
      </w:r>
      <w:r w:rsidR="00BA3F4B">
        <w:rPr>
          <w:rFonts w:ascii="Arial" w:hAnsi="Arial" w:cs="Arial"/>
          <w:i/>
          <w:color w:val="000000" w:themeColor="text1"/>
          <w:lang w:eastAsia="cs-CZ"/>
        </w:rPr>
        <w:t>řem</w:t>
      </w:r>
      <w:r>
        <w:rPr>
          <w:rFonts w:ascii="Arial" w:hAnsi="Arial" w:cs="Arial"/>
          <w:i/>
          <w:color w:val="000000" w:themeColor="text1"/>
          <w:lang w:eastAsia="cs-CZ"/>
        </w:rPr>
        <w:t xml:space="preserve"> prodaným dokončeným nemovitostem denně potvrzuje, že je o ně aktuálně velký zájem</w:t>
      </w:r>
      <w:r w:rsidRPr="00136DD9">
        <w:rPr>
          <w:rFonts w:ascii="Arial" w:hAnsi="Arial" w:cs="Arial"/>
          <w:i/>
          <w:color w:val="000000" w:themeColor="text1"/>
          <w:lang w:eastAsia="cs-CZ"/>
        </w:rPr>
        <w:t>,“</w:t>
      </w:r>
      <w:r>
        <w:rPr>
          <w:rFonts w:ascii="Arial" w:hAnsi="Arial" w:cs="Arial"/>
          <w:color w:val="000000" w:themeColor="text1"/>
          <w:lang w:eastAsia="cs-CZ"/>
        </w:rPr>
        <w:t xml:space="preserve"> říká Dušan Kunovský, předseda představenstva CENTRAL GROUP. </w:t>
      </w:r>
    </w:p>
    <w:p w:rsidR="00136DD9" w:rsidRDefault="00136DD9" w:rsidP="00FF22D6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F09F9" w:rsidRDefault="00C97FF5" w:rsidP="00DF09F9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Bezkonkurenční hypotéka</w:t>
      </w:r>
      <w:r w:rsidR="00D05C00">
        <w:rPr>
          <w:rFonts w:ascii="Arial" w:hAnsi="Arial" w:cs="Arial"/>
          <w:b/>
          <w:sz w:val="24"/>
          <w:szCs w:val="24"/>
          <w:lang w:eastAsia="cs-CZ"/>
        </w:rPr>
        <w:t xml:space="preserve"> a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nákupy na investici</w:t>
      </w:r>
    </w:p>
    <w:p w:rsidR="00DF09F9" w:rsidRPr="00AB1FC1" w:rsidRDefault="00DF09F9" w:rsidP="00DF09F9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BF14CC" w:rsidRDefault="00D05C00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D05C00">
        <w:rPr>
          <w:rFonts w:ascii="Arial" w:hAnsi="Arial" w:cs="Arial"/>
          <w:lang w:eastAsia="cs-CZ"/>
        </w:rPr>
        <w:t xml:space="preserve">Za vysokou poptávkou stojí působení dvou hlavních prorůstových trendů. Prvním jsou přetrvávající rekordně nízké úroky hypoték a tím pádem historicky nejvýhodnější podmínky financování nového </w:t>
      </w:r>
      <w:r w:rsidRPr="00D05C00">
        <w:rPr>
          <w:rFonts w:ascii="Arial" w:hAnsi="Arial" w:cs="Arial"/>
          <w:lang w:eastAsia="cs-CZ"/>
        </w:rPr>
        <w:lastRenderedPageBreak/>
        <w:t>bydlení. Na tento trend zareagoval CENTRAL GROUP vytvořením bezkonkurenční hypotéky s garantovanou úrokovou sazbou ve výši 1,99 % ročně při fixaci úvěru na 3 nebo na 5 let.</w:t>
      </w:r>
    </w:p>
    <w:p w:rsidR="0031568A" w:rsidRDefault="0031568A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1568A" w:rsidRDefault="006D4ABB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D4ABB">
        <w:rPr>
          <w:rFonts w:ascii="Arial" w:hAnsi="Arial" w:cs="Arial"/>
          <w:i/>
          <w:lang w:eastAsia="cs-CZ"/>
        </w:rPr>
        <w:t xml:space="preserve">„Vzhledem k tomu, že za pomoci hypotéky financuje nové bydlení </w:t>
      </w:r>
      <w:r w:rsidR="00017032">
        <w:rPr>
          <w:rFonts w:ascii="Arial" w:hAnsi="Arial" w:cs="Arial"/>
          <w:i/>
          <w:lang w:eastAsia="cs-CZ"/>
        </w:rPr>
        <w:t>60 až 80 procent</w:t>
      </w:r>
      <w:r w:rsidRPr="006D4ABB">
        <w:rPr>
          <w:rFonts w:ascii="Arial" w:hAnsi="Arial" w:cs="Arial"/>
          <w:i/>
          <w:lang w:eastAsia="cs-CZ"/>
        </w:rPr>
        <w:t xml:space="preserve"> kupujících, představují </w:t>
      </w:r>
      <w:r w:rsidR="00017032">
        <w:rPr>
          <w:rFonts w:ascii="Arial" w:hAnsi="Arial" w:cs="Arial"/>
          <w:i/>
          <w:lang w:eastAsia="cs-CZ"/>
        </w:rPr>
        <w:t xml:space="preserve">pro ně </w:t>
      </w:r>
      <w:r w:rsidRPr="006D4ABB">
        <w:rPr>
          <w:rFonts w:ascii="Arial" w:hAnsi="Arial" w:cs="Arial"/>
          <w:i/>
          <w:lang w:eastAsia="cs-CZ"/>
        </w:rPr>
        <w:t xml:space="preserve">úrokové sazby hypoték alternativu ke klasické kupní ceně nemovitosti. Například byt 2+kk v ceně 2,8 milionu korun by před dvěma roky vyšel při 10 % vlastních zdrojů a </w:t>
      </w:r>
      <w:r w:rsidR="00B21B82">
        <w:rPr>
          <w:rFonts w:ascii="Arial" w:hAnsi="Arial" w:cs="Arial"/>
          <w:i/>
          <w:lang w:eastAsia="cs-CZ"/>
        </w:rPr>
        <w:t xml:space="preserve">třicetileté </w:t>
      </w:r>
      <w:r w:rsidRPr="006D4ABB">
        <w:rPr>
          <w:rFonts w:ascii="Arial" w:hAnsi="Arial" w:cs="Arial"/>
          <w:i/>
          <w:lang w:eastAsia="cs-CZ"/>
        </w:rPr>
        <w:t xml:space="preserve">splatnosti hypotéčního úvěru na více než 11.700 korun měsíčně. Tentýž byt dnes stojí necelých 9.300 korun. To významně zvětšuje okruh lidí, kteří si mohou </w:t>
      </w:r>
      <w:r w:rsidR="00A66AAD">
        <w:rPr>
          <w:rFonts w:ascii="Arial" w:hAnsi="Arial" w:cs="Arial"/>
          <w:i/>
          <w:lang w:eastAsia="cs-CZ"/>
        </w:rPr>
        <w:t xml:space="preserve">vlastní </w:t>
      </w:r>
      <w:r w:rsidRPr="006D4ABB">
        <w:rPr>
          <w:rFonts w:ascii="Arial" w:hAnsi="Arial" w:cs="Arial"/>
          <w:i/>
          <w:lang w:eastAsia="cs-CZ"/>
        </w:rPr>
        <w:t>nové bydlení dovolit</w:t>
      </w:r>
      <w:r w:rsidR="00A66AAD">
        <w:rPr>
          <w:rFonts w:ascii="Arial" w:hAnsi="Arial" w:cs="Arial"/>
          <w:i/>
          <w:lang w:eastAsia="cs-CZ"/>
        </w:rPr>
        <w:t>, protože je de facto levnější než nájemné za srovnatelný byt</w:t>
      </w:r>
      <w:r w:rsidRPr="006D4ABB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vypočítává Dušan Kunovský.</w:t>
      </w:r>
    </w:p>
    <w:p w:rsidR="00621B9E" w:rsidRDefault="00621B9E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D4ABB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 nízkými úroky hypoték souvisí i druhý faktor, kterým je rostoucí podíl bytů prodaných na investici. Ten podle Kunovského tvoří 10-30 % prodaných bytů v závislosti na konkrétní lokalitě a v průměru se pohyb</w:t>
      </w:r>
      <w:bookmarkStart w:id="0" w:name="_GoBack"/>
      <w:bookmarkEnd w:id="0"/>
      <w:r>
        <w:rPr>
          <w:rFonts w:ascii="Arial" w:hAnsi="Arial" w:cs="Arial"/>
          <w:lang w:eastAsia="cs-CZ"/>
        </w:rPr>
        <w:t xml:space="preserve">uje okolo 25 %. </w:t>
      </w:r>
      <w:r w:rsidR="00621B9E">
        <w:rPr>
          <w:rFonts w:ascii="Arial" w:hAnsi="Arial" w:cs="Arial"/>
          <w:lang w:eastAsia="cs-CZ"/>
        </w:rPr>
        <w:t>Investoři přitom často využívají hypotéku jako páku – namísto jednoho investičního bytu za hotové nakoupí raději dv</w:t>
      </w:r>
      <w:r w:rsidR="005B681C">
        <w:rPr>
          <w:rFonts w:ascii="Arial" w:hAnsi="Arial" w:cs="Arial"/>
          <w:lang w:eastAsia="cs-CZ"/>
        </w:rPr>
        <w:t>a</w:t>
      </w:r>
      <w:r w:rsidR="00621B9E">
        <w:rPr>
          <w:rFonts w:ascii="Arial" w:hAnsi="Arial" w:cs="Arial"/>
          <w:lang w:eastAsia="cs-CZ"/>
        </w:rPr>
        <w:t xml:space="preserve"> a na oba čerpají hypotéku.</w:t>
      </w: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B21B82">
        <w:rPr>
          <w:rFonts w:ascii="Arial" w:hAnsi="Arial" w:cs="Arial"/>
          <w:i/>
          <w:lang w:eastAsia="cs-CZ"/>
        </w:rPr>
        <w:t xml:space="preserve">„Trend zvýšeného nákupu zejména menších bytů za účelem investice pozorujeme od podzimu roku 2012. Tehdy jsme na trh uvedli první etapu bytů v lokalitě Javorová čtvrť v Horních Měcholupech s cenou začínající pod úrovní 1 milionu korun. Celý zbytek pražského rezidenčního trhu jsme tímto krokem </w:t>
      </w:r>
      <w:r w:rsidR="00621B9E">
        <w:rPr>
          <w:rFonts w:ascii="Arial" w:hAnsi="Arial" w:cs="Arial"/>
          <w:i/>
          <w:lang w:eastAsia="cs-CZ"/>
        </w:rPr>
        <w:t xml:space="preserve">doslova </w:t>
      </w:r>
      <w:proofErr w:type="gramStart"/>
      <w:r w:rsidRPr="00B21B82">
        <w:rPr>
          <w:rFonts w:ascii="Arial" w:hAnsi="Arial" w:cs="Arial"/>
          <w:i/>
          <w:lang w:eastAsia="cs-CZ"/>
        </w:rPr>
        <w:t>donutili</w:t>
      </w:r>
      <w:proofErr w:type="gramEnd"/>
      <w:r w:rsidRPr="00B21B82">
        <w:rPr>
          <w:rFonts w:ascii="Arial" w:hAnsi="Arial" w:cs="Arial"/>
          <w:i/>
          <w:lang w:eastAsia="cs-CZ"/>
        </w:rPr>
        <w:t xml:space="preserve"> plošně zlevnit o </w:t>
      </w:r>
      <w:proofErr w:type="gramStart"/>
      <w:r w:rsidRPr="00B21B82">
        <w:rPr>
          <w:rFonts w:ascii="Arial" w:hAnsi="Arial" w:cs="Arial"/>
          <w:i/>
          <w:lang w:eastAsia="cs-CZ"/>
        </w:rPr>
        <w:t>odstartovali</w:t>
      </w:r>
      <w:proofErr w:type="gramEnd"/>
      <w:r w:rsidR="00621B9E">
        <w:rPr>
          <w:rFonts w:ascii="Arial" w:hAnsi="Arial" w:cs="Arial"/>
          <w:i/>
          <w:lang w:eastAsia="cs-CZ"/>
        </w:rPr>
        <w:t xml:space="preserve"> tím</w:t>
      </w:r>
      <w:r w:rsidRPr="00B21B82">
        <w:rPr>
          <w:rFonts w:ascii="Arial" w:hAnsi="Arial" w:cs="Arial"/>
          <w:i/>
          <w:lang w:eastAsia="cs-CZ"/>
        </w:rPr>
        <w:t xml:space="preserve"> novou poptávku po nemovitostech. Dnes už sice ceny mírně rostou, ale stále je doba mimořádně příznivá pro pořízení nového bydlení,“</w:t>
      </w:r>
      <w:r>
        <w:rPr>
          <w:rFonts w:ascii="Arial" w:hAnsi="Arial" w:cs="Arial"/>
          <w:lang w:eastAsia="cs-CZ"/>
        </w:rPr>
        <w:t xml:space="preserve"> </w:t>
      </w:r>
      <w:r w:rsidR="00D05C00">
        <w:rPr>
          <w:rFonts w:ascii="Arial" w:hAnsi="Arial" w:cs="Arial"/>
          <w:lang w:eastAsia="cs-CZ"/>
        </w:rPr>
        <w:t>uzavírá</w:t>
      </w:r>
      <w:r>
        <w:rPr>
          <w:rFonts w:ascii="Arial" w:hAnsi="Arial" w:cs="Arial"/>
          <w:lang w:eastAsia="cs-CZ"/>
        </w:rPr>
        <w:t xml:space="preserve"> Kunovský. </w:t>
      </w: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36DD9" w:rsidRDefault="00136DD9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C00" w:rsidRDefault="00D05C00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C00" w:rsidRDefault="00D05C00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1B82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7AAD" w:rsidRPr="00136DD9" w:rsidRDefault="000D7AAD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A3F4B" w:rsidRDefault="00BA3F4B" w:rsidP="00BA3F4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4E4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17032"/>
    <w:rsid w:val="00024764"/>
    <w:rsid w:val="000267C4"/>
    <w:rsid w:val="0002687F"/>
    <w:rsid w:val="0003162C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E8A"/>
    <w:rsid w:val="000A0381"/>
    <w:rsid w:val="000A2C12"/>
    <w:rsid w:val="000A555C"/>
    <w:rsid w:val="000C1853"/>
    <w:rsid w:val="000C61A9"/>
    <w:rsid w:val="000D2CE8"/>
    <w:rsid w:val="000D6F5E"/>
    <w:rsid w:val="000D7AAD"/>
    <w:rsid w:val="000F76D9"/>
    <w:rsid w:val="00136B59"/>
    <w:rsid w:val="00136DD9"/>
    <w:rsid w:val="0014189D"/>
    <w:rsid w:val="00147D32"/>
    <w:rsid w:val="00160996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D7759"/>
    <w:rsid w:val="001E5C33"/>
    <w:rsid w:val="001F5AAF"/>
    <w:rsid w:val="001F5F25"/>
    <w:rsid w:val="001F75D0"/>
    <w:rsid w:val="002024C8"/>
    <w:rsid w:val="002039FC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568A"/>
    <w:rsid w:val="00316A88"/>
    <w:rsid w:val="00354906"/>
    <w:rsid w:val="00364E18"/>
    <w:rsid w:val="0038164F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4065D6"/>
    <w:rsid w:val="00407D1B"/>
    <w:rsid w:val="0041092C"/>
    <w:rsid w:val="00416096"/>
    <w:rsid w:val="0042143D"/>
    <w:rsid w:val="00423B06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3A57"/>
    <w:rsid w:val="00575350"/>
    <w:rsid w:val="00582D61"/>
    <w:rsid w:val="005A33B1"/>
    <w:rsid w:val="005A6A33"/>
    <w:rsid w:val="005B681C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1B9E"/>
    <w:rsid w:val="00624443"/>
    <w:rsid w:val="006278BF"/>
    <w:rsid w:val="006331B3"/>
    <w:rsid w:val="006362FC"/>
    <w:rsid w:val="006474BF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66AAD"/>
    <w:rsid w:val="00A712EF"/>
    <w:rsid w:val="00A742F4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F2749"/>
    <w:rsid w:val="00AF7E13"/>
    <w:rsid w:val="00B00ADD"/>
    <w:rsid w:val="00B00B91"/>
    <w:rsid w:val="00B15BD1"/>
    <w:rsid w:val="00B21B82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A3F4B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97FF5"/>
    <w:rsid w:val="00CA4B80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43126"/>
    <w:rsid w:val="00D435EE"/>
    <w:rsid w:val="00D45D3D"/>
    <w:rsid w:val="00D63698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91226"/>
    <w:rsid w:val="00FA0394"/>
    <w:rsid w:val="00FB3096"/>
    <w:rsid w:val="00FC3BB1"/>
    <w:rsid w:val="00FD23C2"/>
    <w:rsid w:val="00FD40F0"/>
    <w:rsid w:val="00FD52E9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3C35F-964A-4809-832B-84D5368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1D23-3DCF-4E75-8421-513B678B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20</cp:revision>
  <cp:lastPrinted>2015-02-03T10:34:00Z</cp:lastPrinted>
  <dcterms:created xsi:type="dcterms:W3CDTF">2015-02-02T08:25:00Z</dcterms:created>
  <dcterms:modified xsi:type="dcterms:W3CDTF">2015-02-17T09:45:00Z</dcterms:modified>
</cp:coreProperties>
</file>