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DA" w:rsidRPr="00494417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D46859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CENTRAL GROUP </w:t>
      </w:r>
      <w:r w:rsidR="00A33D48">
        <w:rPr>
          <w:rFonts w:ascii="Arial Black" w:hAnsi="Arial Black"/>
          <w:color w:val="000000" w:themeColor="text1"/>
          <w:sz w:val="32"/>
          <w:szCs w:val="32"/>
        </w:rPr>
        <w:t xml:space="preserve">uzavřel smlouvu na 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pronájem </w:t>
      </w:r>
      <w:r w:rsidR="009215B4">
        <w:rPr>
          <w:rFonts w:ascii="Arial Black" w:hAnsi="Arial Black"/>
          <w:color w:val="000000" w:themeColor="text1"/>
          <w:sz w:val="32"/>
          <w:szCs w:val="32"/>
        </w:rPr>
        <w:br/>
      </w:r>
      <w:r>
        <w:rPr>
          <w:rFonts w:ascii="Arial Black" w:hAnsi="Arial Black"/>
          <w:color w:val="000000" w:themeColor="text1"/>
          <w:sz w:val="32"/>
          <w:szCs w:val="32"/>
        </w:rPr>
        <w:t xml:space="preserve">svých kanceláří </w:t>
      </w:r>
      <w:r w:rsidR="00B07550">
        <w:rPr>
          <w:rFonts w:ascii="Arial Black" w:hAnsi="Arial Black"/>
          <w:color w:val="000000" w:themeColor="text1"/>
          <w:sz w:val="32"/>
          <w:szCs w:val="32"/>
        </w:rPr>
        <w:t xml:space="preserve">v Praze </w:t>
      </w:r>
      <w:r w:rsidR="00A33D48">
        <w:rPr>
          <w:rFonts w:ascii="Arial Black" w:hAnsi="Arial Black"/>
          <w:color w:val="000000" w:themeColor="text1"/>
          <w:sz w:val="32"/>
          <w:szCs w:val="32"/>
        </w:rPr>
        <w:t>na dalších 5 let za bezmála 100 milionů korun a výrazně rozšiřuje svůj tým</w:t>
      </w:r>
    </w:p>
    <w:p w:rsidR="00FF22D6" w:rsidRPr="00494417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D46859" w:rsidRDefault="00F25562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7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>
        <w:rPr>
          <w:rFonts w:ascii="Arial" w:hAnsi="Arial" w:cs="Arial"/>
          <w:i/>
          <w:sz w:val="23"/>
          <w:szCs w:val="23"/>
          <w:lang w:eastAsia="cs-CZ"/>
        </w:rPr>
        <w:t>7.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CA489A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4D14BF">
        <w:rPr>
          <w:rFonts w:ascii="Arial" w:hAnsi="Arial" w:cs="Arial"/>
          <w:b/>
          <w:sz w:val="23"/>
          <w:szCs w:val="23"/>
          <w:lang w:eastAsia="cs-CZ"/>
        </w:rPr>
        <w:t xml:space="preserve"> nové bytové výstavby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CENTRAL GROUP </w:t>
      </w:r>
      <w:r w:rsidR="00D46859">
        <w:rPr>
          <w:rFonts w:ascii="Arial" w:hAnsi="Arial" w:cs="Arial"/>
          <w:b/>
          <w:sz w:val="23"/>
          <w:szCs w:val="23"/>
          <w:lang w:eastAsia="cs-CZ"/>
        </w:rPr>
        <w:t xml:space="preserve">rozšířil </w:t>
      </w:r>
      <w:r w:rsidR="0007119F">
        <w:rPr>
          <w:rFonts w:ascii="Arial" w:hAnsi="Arial" w:cs="Arial"/>
          <w:b/>
          <w:sz w:val="23"/>
          <w:szCs w:val="23"/>
          <w:lang w:eastAsia="cs-CZ"/>
        </w:rPr>
        <w:t xml:space="preserve">pronájem svých kanceláří v jedné z nejprestižnějších kancelářských budov v Praze. </w:t>
      </w:r>
      <w:r w:rsidR="00B07550">
        <w:rPr>
          <w:rFonts w:ascii="Arial" w:hAnsi="Arial" w:cs="Arial"/>
          <w:b/>
          <w:sz w:val="23"/>
          <w:szCs w:val="23"/>
          <w:lang w:eastAsia="cs-CZ"/>
        </w:rPr>
        <w:t>Firma si</w:t>
      </w:r>
      <w:r w:rsidR="00DB4521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07119F">
        <w:rPr>
          <w:rFonts w:ascii="Arial" w:hAnsi="Arial" w:cs="Arial"/>
          <w:b/>
          <w:sz w:val="23"/>
          <w:szCs w:val="23"/>
          <w:lang w:eastAsia="cs-CZ"/>
        </w:rPr>
        <w:t xml:space="preserve">ve výškové budově </w:t>
      </w:r>
      <w:r w:rsidR="00F32404">
        <w:rPr>
          <w:rFonts w:ascii="Arial" w:hAnsi="Arial" w:cs="Arial"/>
          <w:b/>
          <w:sz w:val="23"/>
          <w:szCs w:val="23"/>
          <w:lang w:eastAsia="cs-CZ"/>
        </w:rPr>
        <w:t xml:space="preserve">CITY </w:t>
      </w:r>
      <w:r w:rsidR="0007119F">
        <w:rPr>
          <w:rFonts w:ascii="Arial" w:hAnsi="Arial" w:cs="Arial"/>
          <w:b/>
          <w:sz w:val="23"/>
          <w:szCs w:val="23"/>
          <w:lang w:eastAsia="cs-CZ"/>
        </w:rPr>
        <w:t>E</w:t>
      </w:r>
      <w:r w:rsidR="00F32404">
        <w:rPr>
          <w:rFonts w:ascii="Arial" w:hAnsi="Arial" w:cs="Arial"/>
          <w:b/>
          <w:sz w:val="23"/>
          <w:szCs w:val="23"/>
          <w:lang w:eastAsia="cs-CZ"/>
        </w:rPr>
        <w:t>MPIRIA</w:t>
      </w:r>
      <w:r w:rsidR="0007119F">
        <w:rPr>
          <w:rFonts w:ascii="Arial" w:hAnsi="Arial" w:cs="Arial"/>
          <w:b/>
          <w:sz w:val="23"/>
          <w:szCs w:val="23"/>
          <w:lang w:eastAsia="cs-CZ"/>
        </w:rPr>
        <w:t xml:space="preserve"> (</w:t>
      </w:r>
      <w:r w:rsidR="00761239">
        <w:rPr>
          <w:rFonts w:ascii="Arial" w:hAnsi="Arial" w:cs="Arial"/>
          <w:b/>
          <w:sz w:val="23"/>
          <w:szCs w:val="23"/>
          <w:lang w:eastAsia="cs-CZ"/>
        </w:rPr>
        <w:t>dříve</w:t>
      </w:r>
      <w:r w:rsidR="0007119F">
        <w:rPr>
          <w:rFonts w:ascii="Arial" w:hAnsi="Arial" w:cs="Arial"/>
          <w:b/>
          <w:sz w:val="23"/>
          <w:szCs w:val="23"/>
          <w:lang w:eastAsia="cs-CZ"/>
        </w:rPr>
        <w:t xml:space="preserve"> Motokov) </w:t>
      </w:r>
      <w:r w:rsidR="0000345B">
        <w:rPr>
          <w:rFonts w:ascii="Arial" w:hAnsi="Arial" w:cs="Arial"/>
          <w:b/>
          <w:sz w:val="23"/>
          <w:szCs w:val="23"/>
          <w:lang w:eastAsia="cs-CZ"/>
        </w:rPr>
        <w:t xml:space="preserve">na pražské Pankráci </w:t>
      </w:r>
      <w:r w:rsidR="00B07550">
        <w:rPr>
          <w:rFonts w:ascii="Arial" w:hAnsi="Arial" w:cs="Arial"/>
          <w:b/>
          <w:sz w:val="23"/>
          <w:szCs w:val="23"/>
          <w:lang w:eastAsia="cs-CZ"/>
        </w:rPr>
        <w:t xml:space="preserve">na dalších 5 let </w:t>
      </w:r>
      <w:r w:rsidR="0007119F">
        <w:rPr>
          <w:rFonts w:ascii="Arial" w:hAnsi="Arial" w:cs="Arial"/>
          <w:b/>
          <w:sz w:val="23"/>
          <w:szCs w:val="23"/>
          <w:lang w:eastAsia="cs-CZ"/>
        </w:rPr>
        <w:t>pronajme téměř 3,000 m</w:t>
      </w:r>
      <w:r w:rsidR="0007119F" w:rsidRPr="0007119F">
        <w:rPr>
          <w:rFonts w:ascii="Arial" w:hAnsi="Arial" w:cs="Arial"/>
          <w:b/>
          <w:sz w:val="23"/>
          <w:szCs w:val="23"/>
          <w:vertAlign w:val="superscript"/>
          <w:lang w:eastAsia="cs-CZ"/>
        </w:rPr>
        <w:t>2</w:t>
      </w:r>
      <w:r w:rsidR="0007119F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00345B">
        <w:rPr>
          <w:rFonts w:ascii="Arial" w:hAnsi="Arial" w:cs="Arial"/>
          <w:b/>
          <w:sz w:val="23"/>
          <w:szCs w:val="23"/>
          <w:lang w:eastAsia="cs-CZ"/>
        </w:rPr>
        <w:t>moder</w:t>
      </w:r>
      <w:r w:rsidR="0007119F">
        <w:rPr>
          <w:rFonts w:ascii="Arial" w:hAnsi="Arial" w:cs="Arial"/>
          <w:b/>
          <w:sz w:val="23"/>
          <w:szCs w:val="23"/>
          <w:lang w:eastAsia="cs-CZ"/>
        </w:rPr>
        <w:t>ních kanceláří</w:t>
      </w:r>
      <w:r w:rsidR="00B07550">
        <w:rPr>
          <w:rFonts w:ascii="Arial" w:hAnsi="Arial" w:cs="Arial"/>
          <w:b/>
          <w:sz w:val="23"/>
          <w:szCs w:val="23"/>
          <w:lang w:eastAsia="cs-CZ"/>
        </w:rPr>
        <w:t xml:space="preserve"> a obchodních prostor</w:t>
      </w:r>
      <w:r w:rsidR="0007119F">
        <w:rPr>
          <w:rFonts w:ascii="Arial" w:hAnsi="Arial" w:cs="Arial"/>
          <w:b/>
          <w:sz w:val="23"/>
          <w:szCs w:val="23"/>
          <w:lang w:eastAsia="cs-CZ"/>
        </w:rPr>
        <w:t xml:space="preserve"> za bezmála 100 milionů korun. </w:t>
      </w:r>
      <w:r w:rsidR="00B07550">
        <w:rPr>
          <w:rFonts w:ascii="Arial" w:hAnsi="Arial" w:cs="Arial"/>
          <w:b/>
          <w:sz w:val="23"/>
          <w:szCs w:val="23"/>
          <w:lang w:eastAsia="cs-CZ"/>
        </w:rPr>
        <w:t xml:space="preserve">CENTRAL GROUP zároveň </w:t>
      </w:r>
      <w:r w:rsidR="009215B4">
        <w:rPr>
          <w:rFonts w:ascii="Arial" w:hAnsi="Arial" w:cs="Arial"/>
          <w:b/>
          <w:sz w:val="23"/>
          <w:szCs w:val="23"/>
          <w:lang w:eastAsia="cs-CZ"/>
        </w:rPr>
        <w:t xml:space="preserve">prochází </w:t>
      </w:r>
      <w:r w:rsidR="00F32404">
        <w:rPr>
          <w:rFonts w:ascii="Arial" w:hAnsi="Arial" w:cs="Arial"/>
          <w:b/>
          <w:sz w:val="23"/>
          <w:szCs w:val="23"/>
          <w:lang w:eastAsia="cs-CZ"/>
        </w:rPr>
        <w:t xml:space="preserve">velkou </w:t>
      </w:r>
      <w:r w:rsidR="009215B4">
        <w:rPr>
          <w:rFonts w:ascii="Arial" w:hAnsi="Arial" w:cs="Arial"/>
          <w:b/>
          <w:sz w:val="23"/>
          <w:szCs w:val="23"/>
          <w:lang w:eastAsia="cs-CZ"/>
        </w:rPr>
        <w:t xml:space="preserve">personální expanzí a výrazně rozšiřuje svůj tým. </w:t>
      </w:r>
    </w:p>
    <w:p w:rsidR="00D46859" w:rsidRDefault="00D46859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F25562" w:rsidRDefault="0000345B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CENTRAL GROUP je v 27podlažní dominantě Pankrácké pláně jednoznačně největším nájemcem. Včetně klientského centra a vzorkovny v přízemí se kanceláře společnosti rozprostírají na pěti podlažích</w:t>
      </w:r>
      <w:r w:rsidR="00F32404">
        <w:rPr>
          <w:rFonts w:ascii="Arial" w:hAnsi="Arial" w:cs="Arial"/>
          <w:lang w:eastAsia="cs-CZ"/>
        </w:rPr>
        <w:t xml:space="preserve"> </w:t>
      </w:r>
      <w:r w:rsidR="00F25562">
        <w:rPr>
          <w:rFonts w:ascii="Arial" w:hAnsi="Arial" w:cs="Arial"/>
          <w:lang w:eastAsia="cs-CZ"/>
        </w:rPr>
        <w:t>jedné z nej</w:t>
      </w:r>
      <w:r w:rsidR="00B071A1">
        <w:rPr>
          <w:rFonts w:ascii="Arial" w:hAnsi="Arial" w:cs="Arial"/>
          <w:lang w:eastAsia="cs-CZ"/>
        </w:rPr>
        <w:t>prestižn</w:t>
      </w:r>
      <w:r w:rsidR="00F25562">
        <w:rPr>
          <w:rFonts w:ascii="Arial" w:hAnsi="Arial" w:cs="Arial"/>
          <w:lang w:eastAsia="cs-CZ"/>
        </w:rPr>
        <w:t xml:space="preserve">ějších administrativních </w:t>
      </w:r>
      <w:r w:rsidR="00B071A1">
        <w:rPr>
          <w:rFonts w:ascii="Arial" w:hAnsi="Arial" w:cs="Arial"/>
          <w:lang w:eastAsia="cs-CZ"/>
        </w:rPr>
        <w:t>budov</w:t>
      </w:r>
      <w:r w:rsidR="00F25562">
        <w:rPr>
          <w:rFonts w:ascii="Arial" w:hAnsi="Arial" w:cs="Arial"/>
          <w:lang w:eastAsia="cs-CZ"/>
        </w:rPr>
        <w:t xml:space="preserve"> v Praze.</w:t>
      </w:r>
    </w:p>
    <w:p w:rsidR="00F32404" w:rsidRDefault="00F32404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00345B" w:rsidRDefault="0000345B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00345B">
        <w:rPr>
          <w:rFonts w:ascii="Arial" w:hAnsi="Arial" w:cs="Arial"/>
          <w:i/>
          <w:lang w:eastAsia="cs-CZ"/>
        </w:rPr>
        <w:t>„</w:t>
      </w:r>
      <w:r w:rsidR="004D053E">
        <w:rPr>
          <w:rFonts w:ascii="Arial" w:hAnsi="Arial" w:cs="Arial"/>
          <w:i/>
          <w:lang w:eastAsia="cs-CZ"/>
        </w:rPr>
        <w:t xml:space="preserve">Při </w:t>
      </w:r>
      <w:proofErr w:type="spellStart"/>
      <w:r w:rsidR="004D053E">
        <w:rPr>
          <w:rFonts w:ascii="Arial" w:hAnsi="Arial" w:cs="Arial"/>
          <w:i/>
          <w:lang w:eastAsia="cs-CZ"/>
        </w:rPr>
        <w:t>renegociaci</w:t>
      </w:r>
      <w:proofErr w:type="spellEnd"/>
      <w:r w:rsidR="004D053E">
        <w:rPr>
          <w:rFonts w:ascii="Arial" w:hAnsi="Arial" w:cs="Arial"/>
          <w:i/>
          <w:lang w:eastAsia="cs-CZ"/>
        </w:rPr>
        <w:t xml:space="preserve"> stávajících </w:t>
      </w:r>
      <w:r w:rsidR="00F32404">
        <w:rPr>
          <w:rFonts w:ascii="Arial" w:hAnsi="Arial" w:cs="Arial"/>
          <w:i/>
          <w:lang w:eastAsia="cs-CZ"/>
        </w:rPr>
        <w:t xml:space="preserve">nájemních </w:t>
      </w:r>
      <w:r w:rsidR="004D053E">
        <w:rPr>
          <w:rFonts w:ascii="Arial" w:hAnsi="Arial" w:cs="Arial"/>
          <w:i/>
          <w:lang w:eastAsia="cs-CZ"/>
        </w:rPr>
        <w:t xml:space="preserve">podmínek a rozšíření našich prostor nám pronajímatel jako </w:t>
      </w:r>
      <w:r w:rsidR="00B071A1">
        <w:rPr>
          <w:rFonts w:ascii="Arial" w:hAnsi="Arial" w:cs="Arial"/>
          <w:i/>
          <w:lang w:eastAsia="cs-CZ"/>
        </w:rPr>
        <w:t xml:space="preserve">klíčovému </w:t>
      </w:r>
      <w:r w:rsidR="004D053E">
        <w:rPr>
          <w:rFonts w:ascii="Arial" w:hAnsi="Arial" w:cs="Arial"/>
          <w:i/>
          <w:lang w:eastAsia="cs-CZ"/>
        </w:rPr>
        <w:t xml:space="preserve">nájemci </w:t>
      </w:r>
      <w:r w:rsidR="00B071A1">
        <w:rPr>
          <w:rFonts w:ascii="Arial" w:hAnsi="Arial" w:cs="Arial"/>
          <w:i/>
          <w:lang w:eastAsia="cs-CZ"/>
        </w:rPr>
        <w:t>v</w:t>
      </w:r>
      <w:r w:rsidR="004D053E">
        <w:rPr>
          <w:rFonts w:ascii="Arial" w:hAnsi="Arial" w:cs="Arial"/>
          <w:i/>
          <w:lang w:eastAsia="cs-CZ"/>
        </w:rPr>
        <w:t>yšel vstříc, proto jsme se</w:t>
      </w:r>
      <w:r w:rsidR="00BE16F3">
        <w:rPr>
          <w:rFonts w:ascii="Arial" w:hAnsi="Arial" w:cs="Arial"/>
          <w:i/>
          <w:lang w:eastAsia="cs-CZ"/>
        </w:rPr>
        <w:t xml:space="preserve"> dokázali dohodnout </w:t>
      </w:r>
      <w:r w:rsidR="004D053E">
        <w:rPr>
          <w:rFonts w:ascii="Arial" w:hAnsi="Arial" w:cs="Arial"/>
          <w:i/>
          <w:lang w:eastAsia="cs-CZ"/>
        </w:rPr>
        <w:t xml:space="preserve">velmi rychle. </w:t>
      </w:r>
      <w:r w:rsidR="00F32404">
        <w:rPr>
          <w:rFonts w:ascii="Arial" w:hAnsi="Arial" w:cs="Arial"/>
          <w:i/>
          <w:lang w:eastAsia="cs-CZ"/>
        </w:rPr>
        <w:t xml:space="preserve">Nikdy nebylo </w:t>
      </w:r>
      <w:r w:rsidR="004D053E">
        <w:rPr>
          <w:rFonts w:ascii="Arial" w:hAnsi="Arial" w:cs="Arial"/>
          <w:i/>
          <w:lang w:eastAsia="cs-CZ"/>
        </w:rPr>
        <w:t>naším cílem</w:t>
      </w:r>
      <w:r w:rsidR="00F32404">
        <w:rPr>
          <w:rFonts w:ascii="Arial" w:hAnsi="Arial" w:cs="Arial"/>
          <w:i/>
          <w:lang w:eastAsia="cs-CZ"/>
        </w:rPr>
        <w:t xml:space="preserve"> mít</w:t>
      </w:r>
      <w:r w:rsidR="004D053E">
        <w:rPr>
          <w:rFonts w:ascii="Arial" w:hAnsi="Arial" w:cs="Arial"/>
          <w:i/>
          <w:lang w:eastAsia="cs-CZ"/>
        </w:rPr>
        <w:t xml:space="preserve"> vlastn</w:t>
      </w:r>
      <w:r w:rsidR="00F32404">
        <w:rPr>
          <w:rFonts w:ascii="Arial" w:hAnsi="Arial" w:cs="Arial"/>
          <w:i/>
          <w:lang w:eastAsia="cs-CZ"/>
        </w:rPr>
        <w:t xml:space="preserve">í </w:t>
      </w:r>
      <w:r w:rsidR="004D053E">
        <w:rPr>
          <w:rFonts w:ascii="Arial" w:hAnsi="Arial" w:cs="Arial"/>
          <w:i/>
          <w:lang w:eastAsia="cs-CZ"/>
        </w:rPr>
        <w:t>administrativní budovu</w:t>
      </w:r>
      <w:r w:rsidR="00F32404">
        <w:rPr>
          <w:rFonts w:ascii="Arial" w:hAnsi="Arial" w:cs="Arial"/>
          <w:i/>
          <w:lang w:eastAsia="cs-CZ"/>
        </w:rPr>
        <w:t xml:space="preserve">, starat se o ni a mít v ní </w:t>
      </w:r>
      <w:r w:rsidR="00B071A1">
        <w:rPr>
          <w:rFonts w:ascii="Arial" w:hAnsi="Arial" w:cs="Arial"/>
          <w:i/>
          <w:lang w:eastAsia="cs-CZ"/>
        </w:rPr>
        <w:t xml:space="preserve">své </w:t>
      </w:r>
      <w:r w:rsidR="004D053E">
        <w:rPr>
          <w:rFonts w:ascii="Arial" w:hAnsi="Arial" w:cs="Arial"/>
          <w:i/>
          <w:lang w:eastAsia="cs-CZ"/>
        </w:rPr>
        <w:t>sídlo</w:t>
      </w:r>
      <w:r w:rsidR="00F32404">
        <w:rPr>
          <w:rFonts w:ascii="Arial" w:hAnsi="Arial" w:cs="Arial"/>
          <w:i/>
          <w:lang w:eastAsia="cs-CZ"/>
        </w:rPr>
        <w:t>. N</w:t>
      </w:r>
      <w:r w:rsidR="004D053E">
        <w:rPr>
          <w:rFonts w:ascii="Arial" w:hAnsi="Arial" w:cs="Arial"/>
          <w:i/>
          <w:lang w:eastAsia="cs-CZ"/>
        </w:rPr>
        <w:t>aopak</w:t>
      </w:r>
      <w:r w:rsidR="00B071A1">
        <w:rPr>
          <w:rFonts w:ascii="Arial" w:hAnsi="Arial" w:cs="Arial"/>
          <w:i/>
          <w:lang w:eastAsia="cs-CZ"/>
        </w:rPr>
        <w:t xml:space="preserve">, </w:t>
      </w:r>
      <w:r w:rsidR="004D053E">
        <w:rPr>
          <w:rFonts w:ascii="Arial" w:hAnsi="Arial" w:cs="Arial"/>
          <w:i/>
          <w:lang w:eastAsia="cs-CZ"/>
        </w:rPr>
        <w:t>maximum volných finančních prostředků</w:t>
      </w:r>
      <w:r w:rsidR="00B071A1">
        <w:rPr>
          <w:rFonts w:ascii="Arial" w:hAnsi="Arial" w:cs="Arial"/>
          <w:i/>
          <w:lang w:eastAsia="cs-CZ"/>
        </w:rPr>
        <w:t xml:space="preserve"> chceme</w:t>
      </w:r>
      <w:r w:rsidR="004D053E">
        <w:rPr>
          <w:rFonts w:ascii="Arial" w:hAnsi="Arial" w:cs="Arial"/>
          <w:i/>
          <w:lang w:eastAsia="cs-CZ"/>
        </w:rPr>
        <w:t xml:space="preserve"> investovat do dalších akvizic </w:t>
      </w:r>
      <w:r w:rsidR="00F32404">
        <w:rPr>
          <w:rFonts w:ascii="Arial" w:hAnsi="Arial" w:cs="Arial"/>
          <w:i/>
          <w:lang w:eastAsia="cs-CZ"/>
        </w:rPr>
        <w:t>a následného rozvoje velkých urbanistických celků</w:t>
      </w:r>
      <w:r w:rsidR="004D053E">
        <w:rPr>
          <w:rFonts w:ascii="Arial" w:hAnsi="Arial" w:cs="Arial"/>
          <w:i/>
          <w:lang w:eastAsia="cs-CZ"/>
        </w:rPr>
        <w:t>,</w:t>
      </w:r>
      <w:r w:rsidRPr="0000345B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</w:t>
      </w:r>
      <w:r w:rsidR="00894BB2">
        <w:rPr>
          <w:rFonts w:ascii="Arial" w:hAnsi="Arial" w:cs="Arial"/>
          <w:lang w:eastAsia="cs-CZ"/>
        </w:rPr>
        <w:t>řík</w:t>
      </w:r>
      <w:r>
        <w:rPr>
          <w:rFonts w:ascii="Arial" w:hAnsi="Arial" w:cs="Arial"/>
          <w:lang w:eastAsia="cs-CZ"/>
        </w:rPr>
        <w:t xml:space="preserve">á Dušan Kunovský, předseda představenstva </w:t>
      </w:r>
      <w:r w:rsidR="00894BB2">
        <w:rPr>
          <w:rFonts w:ascii="Arial" w:hAnsi="Arial" w:cs="Arial"/>
          <w:lang w:eastAsia="cs-CZ"/>
        </w:rPr>
        <w:t>CENTRAL GROUP</w:t>
      </w:r>
      <w:r w:rsidR="00BE16F3">
        <w:rPr>
          <w:rFonts w:ascii="Arial" w:hAnsi="Arial" w:cs="Arial"/>
          <w:lang w:eastAsia="cs-CZ"/>
        </w:rPr>
        <w:t xml:space="preserve">. </w:t>
      </w:r>
      <w:r w:rsidR="00F32404" w:rsidRPr="00F32404">
        <w:rPr>
          <w:rFonts w:ascii="Arial" w:hAnsi="Arial" w:cs="Arial"/>
          <w:lang w:eastAsia="cs-CZ"/>
        </w:rPr>
        <w:t>P</w:t>
      </w:r>
      <w:r w:rsidR="00F32404">
        <w:rPr>
          <w:rFonts w:ascii="Arial" w:hAnsi="Arial" w:cs="Arial"/>
          <w:lang w:eastAsia="cs-CZ"/>
        </w:rPr>
        <w:t>říjemným bonusem</w:t>
      </w:r>
      <w:r w:rsidR="00F32404" w:rsidRPr="00F32404">
        <w:rPr>
          <w:rFonts w:ascii="Arial" w:hAnsi="Arial" w:cs="Arial"/>
          <w:lang w:eastAsia="cs-CZ"/>
        </w:rPr>
        <w:t xml:space="preserve"> </w:t>
      </w:r>
      <w:r w:rsidR="00B071A1">
        <w:rPr>
          <w:rFonts w:ascii="Arial" w:hAnsi="Arial" w:cs="Arial"/>
          <w:lang w:eastAsia="cs-CZ"/>
        </w:rPr>
        <w:t>kanceláří</w:t>
      </w:r>
      <w:r w:rsidR="00F32404">
        <w:rPr>
          <w:rFonts w:ascii="Arial" w:hAnsi="Arial" w:cs="Arial"/>
          <w:lang w:eastAsia="cs-CZ"/>
        </w:rPr>
        <w:t xml:space="preserve"> </w:t>
      </w:r>
      <w:r w:rsidR="00BE16F3">
        <w:rPr>
          <w:rFonts w:ascii="Arial" w:hAnsi="Arial" w:cs="Arial"/>
          <w:lang w:eastAsia="cs-CZ"/>
        </w:rPr>
        <w:t xml:space="preserve">společnosti </w:t>
      </w:r>
      <w:r w:rsidR="00F32404" w:rsidRPr="00F32404">
        <w:rPr>
          <w:rFonts w:ascii="Arial" w:hAnsi="Arial" w:cs="Arial"/>
          <w:lang w:eastAsia="cs-CZ"/>
        </w:rPr>
        <w:t>j</w:t>
      </w:r>
      <w:r w:rsidR="00F32404">
        <w:rPr>
          <w:rFonts w:ascii="Arial" w:hAnsi="Arial" w:cs="Arial"/>
          <w:lang w:eastAsia="cs-CZ"/>
        </w:rPr>
        <w:t>e i</w:t>
      </w:r>
      <w:r w:rsidR="00F32404" w:rsidRPr="00F32404">
        <w:rPr>
          <w:rFonts w:ascii="Arial" w:hAnsi="Arial" w:cs="Arial"/>
          <w:lang w:eastAsia="cs-CZ"/>
        </w:rPr>
        <w:t xml:space="preserve"> ohromující výhled</w:t>
      </w:r>
      <w:r w:rsidR="00BE16F3">
        <w:rPr>
          <w:rFonts w:ascii="Arial" w:hAnsi="Arial" w:cs="Arial"/>
          <w:lang w:eastAsia="cs-CZ"/>
        </w:rPr>
        <w:t xml:space="preserve"> na celou Prahu</w:t>
      </w:r>
      <w:r w:rsidR="00F32404">
        <w:rPr>
          <w:rFonts w:ascii="Arial" w:hAnsi="Arial" w:cs="Arial"/>
          <w:lang w:eastAsia="cs-CZ"/>
        </w:rPr>
        <w:t>.</w:t>
      </w:r>
      <w:r w:rsidR="00F32404" w:rsidRPr="00F32404">
        <w:rPr>
          <w:rFonts w:ascii="Arial" w:hAnsi="Arial" w:cs="Arial"/>
          <w:lang w:eastAsia="cs-CZ"/>
        </w:rPr>
        <w:t xml:space="preserve"> </w:t>
      </w:r>
      <w:r w:rsidR="0081291B" w:rsidRPr="00F32404">
        <w:rPr>
          <w:rFonts w:ascii="Arial" w:hAnsi="Arial" w:cs="Arial"/>
          <w:lang w:eastAsia="cs-CZ"/>
        </w:rPr>
        <w:t>Výstavb</w:t>
      </w:r>
      <w:r w:rsidR="00B07550">
        <w:rPr>
          <w:rFonts w:ascii="Arial" w:hAnsi="Arial" w:cs="Arial"/>
          <w:lang w:eastAsia="cs-CZ"/>
        </w:rPr>
        <w:t xml:space="preserve">u řady </w:t>
      </w:r>
      <w:r w:rsidR="0081291B">
        <w:rPr>
          <w:rFonts w:ascii="Arial" w:hAnsi="Arial" w:cs="Arial"/>
          <w:lang w:eastAsia="cs-CZ"/>
        </w:rPr>
        <w:t xml:space="preserve">projektů </w:t>
      </w:r>
      <w:r w:rsidR="00F32404">
        <w:rPr>
          <w:rFonts w:ascii="Arial" w:hAnsi="Arial" w:cs="Arial"/>
          <w:lang w:eastAsia="cs-CZ"/>
        </w:rPr>
        <w:t xml:space="preserve">tak </w:t>
      </w:r>
      <w:r w:rsidR="00B07550">
        <w:rPr>
          <w:rFonts w:ascii="Arial" w:hAnsi="Arial" w:cs="Arial"/>
          <w:lang w:eastAsia="cs-CZ"/>
        </w:rPr>
        <w:t xml:space="preserve">mohou </w:t>
      </w:r>
      <w:r w:rsidR="00D85EC8">
        <w:rPr>
          <w:rFonts w:ascii="Arial" w:hAnsi="Arial" w:cs="Arial"/>
          <w:lang w:eastAsia="cs-CZ"/>
        </w:rPr>
        <w:t xml:space="preserve">její </w:t>
      </w:r>
      <w:r w:rsidR="00B07550">
        <w:rPr>
          <w:rFonts w:ascii="Arial" w:hAnsi="Arial" w:cs="Arial"/>
          <w:lang w:eastAsia="cs-CZ"/>
        </w:rPr>
        <w:t xml:space="preserve">zaměstnanci </w:t>
      </w:r>
      <w:r w:rsidR="00F32404">
        <w:rPr>
          <w:rFonts w:ascii="Arial" w:hAnsi="Arial" w:cs="Arial"/>
          <w:lang w:eastAsia="cs-CZ"/>
        </w:rPr>
        <w:t>s</w:t>
      </w:r>
      <w:r w:rsidR="0081291B">
        <w:rPr>
          <w:rFonts w:ascii="Arial" w:hAnsi="Arial" w:cs="Arial"/>
          <w:lang w:eastAsia="cs-CZ"/>
        </w:rPr>
        <w:t>ledovat doslova z okna.</w:t>
      </w:r>
    </w:p>
    <w:p w:rsidR="0000345B" w:rsidRPr="0000345B" w:rsidRDefault="0000345B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E56EE" w:rsidRDefault="0013432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Rozšíření kancelářských prostor </w:t>
      </w:r>
      <w:r w:rsidR="00B071A1">
        <w:rPr>
          <w:rFonts w:ascii="Arial" w:hAnsi="Arial" w:cs="Arial"/>
          <w:lang w:eastAsia="cs-CZ"/>
        </w:rPr>
        <w:t xml:space="preserve">úzce </w:t>
      </w:r>
      <w:r>
        <w:rPr>
          <w:rFonts w:ascii="Arial" w:hAnsi="Arial" w:cs="Arial"/>
          <w:lang w:eastAsia="cs-CZ"/>
        </w:rPr>
        <w:t>souvisí s</w:t>
      </w:r>
      <w:r w:rsidR="003E56EE">
        <w:rPr>
          <w:rFonts w:ascii="Arial" w:hAnsi="Arial" w:cs="Arial"/>
          <w:lang w:eastAsia="cs-CZ"/>
        </w:rPr>
        <w:t xml:space="preserve"> velkou </w:t>
      </w:r>
      <w:r>
        <w:rPr>
          <w:rFonts w:ascii="Arial" w:hAnsi="Arial" w:cs="Arial"/>
          <w:lang w:eastAsia="cs-CZ"/>
        </w:rPr>
        <w:t xml:space="preserve">personální expanzí, kterou CENTRAL GROUP prochází </w:t>
      </w:r>
      <w:r w:rsidR="0093017D">
        <w:rPr>
          <w:rFonts w:ascii="Arial" w:hAnsi="Arial" w:cs="Arial"/>
          <w:lang w:eastAsia="cs-CZ"/>
        </w:rPr>
        <w:t>v posledních letech</w:t>
      </w:r>
      <w:r>
        <w:rPr>
          <w:rFonts w:ascii="Arial" w:hAnsi="Arial" w:cs="Arial"/>
          <w:lang w:eastAsia="cs-CZ"/>
        </w:rPr>
        <w:t xml:space="preserve">. </w:t>
      </w:r>
      <w:r w:rsidR="003E56EE">
        <w:rPr>
          <w:rFonts w:ascii="Arial" w:hAnsi="Arial" w:cs="Arial"/>
          <w:lang w:eastAsia="cs-CZ"/>
        </w:rPr>
        <w:t xml:space="preserve">Firma si </w:t>
      </w:r>
      <w:r w:rsidR="00A65E71">
        <w:rPr>
          <w:rFonts w:ascii="Arial" w:hAnsi="Arial" w:cs="Arial"/>
          <w:lang w:eastAsia="cs-CZ"/>
        </w:rPr>
        <w:t xml:space="preserve">dlouhodobě </w:t>
      </w:r>
      <w:r w:rsidR="003E56EE">
        <w:rPr>
          <w:rFonts w:ascii="Arial" w:hAnsi="Arial" w:cs="Arial"/>
          <w:lang w:eastAsia="cs-CZ"/>
        </w:rPr>
        <w:t>zajišťuje celý deve</w:t>
      </w:r>
      <w:r w:rsidR="00A65E71">
        <w:rPr>
          <w:rFonts w:ascii="Arial" w:hAnsi="Arial" w:cs="Arial"/>
          <w:lang w:eastAsia="cs-CZ"/>
        </w:rPr>
        <w:t>loperských proces včetně projekčních prací</w:t>
      </w:r>
      <w:r w:rsidR="00B07550">
        <w:rPr>
          <w:rFonts w:ascii="Arial" w:hAnsi="Arial" w:cs="Arial"/>
          <w:lang w:eastAsia="cs-CZ"/>
        </w:rPr>
        <w:t xml:space="preserve"> kompletně vlastními silami. </w:t>
      </w:r>
      <w:r w:rsidR="003E56EE">
        <w:rPr>
          <w:rFonts w:ascii="Arial" w:hAnsi="Arial" w:cs="Arial"/>
          <w:lang w:eastAsia="cs-CZ"/>
        </w:rPr>
        <w:t xml:space="preserve">Generálním dodavatelům </w:t>
      </w:r>
      <w:r w:rsidR="00B071A1">
        <w:rPr>
          <w:rFonts w:ascii="Arial" w:hAnsi="Arial" w:cs="Arial"/>
          <w:lang w:eastAsia="cs-CZ"/>
        </w:rPr>
        <w:t>z řad renomovaných stavebních firem, kteří jsou vybíráni n</w:t>
      </w:r>
      <w:r w:rsidR="003E56EE">
        <w:rPr>
          <w:rFonts w:ascii="Arial" w:hAnsi="Arial" w:cs="Arial"/>
          <w:lang w:eastAsia="cs-CZ"/>
        </w:rPr>
        <w:t>a základě náročných čtyřkolových výběr</w:t>
      </w:r>
      <w:r w:rsidR="00A65E71">
        <w:rPr>
          <w:rFonts w:ascii="Arial" w:hAnsi="Arial" w:cs="Arial"/>
          <w:lang w:eastAsia="cs-CZ"/>
        </w:rPr>
        <w:t xml:space="preserve">ových řízení, pak svěřuje pouze vlastní </w:t>
      </w:r>
      <w:r w:rsidR="00B07550">
        <w:rPr>
          <w:rFonts w:ascii="Arial" w:hAnsi="Arial" w:cs="Arial"/>
          <w:lang w:eastAsia="cs-CZ"/>
        </w:rPr>
        <w:t>realizaci staveb</w:t>
      </w:r>
      <w:r w:rsidR="00F61C32">
        <w:rPr>
          <w:rFonts w:ascii="Arial" w:hAnsi="Arial" w:cs="Arial"/>
          <w:lang w:eastAsia="cs-CZ"/>
        </w:rPr>
        <w:t>. I tito prověření generální dodavatelé jsou ale</w:t>
      </w:r>
      <w:r w:rsidR="00B07550">
        <w:rPr>
          <w:rFonts w:ascii="Arial" w:hAnsi="Arial" w:cs="Arial"/>
          <w:lang w:eastAsia="cs-CZ"/>
        </w:rPr>
        <w:t xml:space="preserve"> pod každodenní</w:t>
      </w:r>
      <w:r w:rsidR="00F61C32">
        <w:rPr>
          <w:rFonts w:ascii="Arial" w:hAnsi="Arial" w:cs="Arial"/>
          <w:lang w:eastAsia="cs-CZ"/>
        </w:rPr>
        <w:t>m</w:t>
      </w:r>
      <w:r w:rsidR="00B07550">
        <w:rPr>
          <w:rFonts w:ascii="Arial" w:hAnsi="Arial" w:cs="Arial"/>
          <w:lang w:eastAsia="cs-CZ"/>
        </w:rPr>
        <w:t xml:space="preserve"> </w:t>
      </w:r>
      <w:r w:rsidR="00F61C32">
        <w:rPr>
          <w:rFonts w:ascii="Arial" w:hAnsi="Arial" w:cs="Arial"/>
          <w:lang w:eastAsia="cs-CZ"/>
        </w:rPr>
        <w:t>dohledem v</w:t>
      </w:r>
      <w:r w:rsidR="00B07550">
        <w:rPr>
          <w:rFonts w:ascii="Arial" w:hAnsi="Arial" w:cs="Arial"/>
          <w:lang w:eastAsia="cs-CZ"/>
        </w:rPr>
        <w:t>lastních pracovníků stavebního dozoru</w:t>
      </w:r>
      <w:r w:rsidR="00F61C32">
        <w:rPr>
          <w:rFonts w:ascii="Arial" w:hAnsi="Arial" w:cs="Arial"/>
          <w:lang w:eastAsia="cs-CZ"/>
        </w:rPr>
        <w:t xml:space="preserve"> CENTRAL GROUP</w:t>
      </w:r>
      <w:r w:rsidR="00B07550">
        <w:rPr>
          <w:rFonts w:ascii="Arial" w:hAnsi="Arial" w:cs="Arial"/>
          <w:lang w:eastAsia="cs-CZ"/>
        </w:rPr>
        <w:t xml:space="preserve">. </w:t>
      </w:r>
    </w:p>
    <w:p w:rsidR="003E56EE" w:rsidRDefault="003E56E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61C32" w:rsidRDefault="00F61C32" w:rsidP="00F61C32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>
        <w:rPr>
          <w:rFonts w:ascii="Arial" w:hAnsi="Arial" w:cs="Arial"/>
          <w:b/>
          <w:sz w:val="23"/>
          <w:szCs w:val="23"/>
          <w:lang w:eastAsia="cs-CZ"/>
        </w:rPr>
        <w:t>CENTRAL GROUP rozšiřuje svůj tým, během dvou let nabral o třetinu více lidí</w:t>
      </w:r>
    </w:p>
    <w:p w:rsidR="00F61C32" w:rsidRPr="00F61C32" w:rsidRDefault="00F61C32" w:rsidP="00651991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6F2014" w:rsidRPr="006F2014" w:rsidRDefault="0013432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</w:t>
      </w:r>
      <w:r w:rsidR="00B071A1">
        <w:rPr>
          <w:rFonts w:ascii="Arial" w:hAnsi="Arial" w:cs="Arial"/>
          <w:lang w:eastAsia="cs-CZ"/>
        </w:rPr>
        <w:t xml:space="preserve"> rekordními </w:t>
      </w:r>
      <w:r w:rsidR="00A65E71">
        <w:rPr>
          <w:rFonts w:ascii="Arial" w:hAnsi="Arial" w:cs="Arial"/>
          <w:lang w:eastAsia="cs-CZ"/>
        </w:rPr>
        <w:t>akvizicemi</w:t>
      </w:r>
      <w:r w:rsidR="00F61C32">
        <w:rPr>
          <w:rFonts w:ascii="Arial" w:hAnsi="Arial" w:cs="Arial"/>
          <w:lang w:eastAsia="cs-CZ"/>
        </w:rPr>
        <w:t xml:space="preserve">, </w:t>
      </w:r>
      <w:r w:rsidR="00A65E71">
        <w:rPr>
          <w:rFonts w:ascii="Arial" w:hAnsi="Arial" w:cs="Arial"/>
          <w:lang w:eastAsia="cs-CZ"/>
        </w:rPr>
        <w:t xml:space="preserve">přípravou nových velkých </w:t>
      </w:r>
      <w:r w:rsidR="00B071A1">
        <w:rPr>
          <w:rFonts w:ascii="Arial" w:hAnsi="Arial" w:cs="Arial"/>
          <w:lang w:eastAsia="cs-CZ"/>
        </w:rPr>
        <w:t xml:space="preserve">rozvojových </w:t>
      </w:r>
      <w:r w:rsidR="00A65E71">
        <w:rPr>
          <w:rFonts w:ascii="Arial" w:hAnsi="Arial" w:cs="Arial"/>
          <w:lang w:eastAsia="cs-CZ"/>
        </w:rPr>
        <w:t>lokalit,</w:t>
      </w:r>
      <w:r>
        <w:rPr>
          <w:rFonts w:ascii="Arial" w:hAnsi="Arial" w:cs="Arial"/>
          <w:lang w:eastAsia="cs-CZ"/>
        </w:rPr>
        <w:t xml:space="preserve"> rostoucími prodeji</w:t>
      </w:r>
      <w:r w:rsidR="00B071A1">
        <w:rPr>
          <w:rFonts w:ascii="Arial" w:hAnsi="Arial" w:cs="Arial"/>
          <w:lang w:eastAsia="cs-CZ"/>
        </w:rPr>
        <w:t xml:space="preserve"> bytů</w:t>
      </w:r>
      <w:r w:rsidR="00A65E71">
        <w:rPr>
          <w:rFonts w:ascii="Arial" w:hAnsi="Arial" w:cs="Arial"/>
          <w:lang w:eastAsia="cs-CZ"/>
        </w:rPr>
        <w:t xml:space="preserve"> </w:t>
      </w:r>
      <w:r w:rsidR="00F61C32">
        <w:rPr>
          <w:rFonts w:ascii="Arial" w:hAnsi="Arial" w:cs="Arial"/>
          <w:lang w:eastAsia="cs-CZ"/>
        </w:rPr>
        <w:t xml:space="preserve">a </w:t>
      </w:r>
      <w:r w:rsidR="00A65E71">
        <w:rPr>
          <w:rFonts w:ascii="Arial" w:hAnsi="Arial" w:cs="Arial"/>
          <w:lang w:eastAsia="cs-CZ"/>
        </w:rPr>
        <w:t>plánovaným podzimním vstupem do segmentu exkluzivních nemovitostí</w:t>
      </w:r>
      <w:r>
        <w:rPr>
          <w:rFonts w:ascii="Arial" w:hAnsi="Arial" w:cs="Arial"/>
          <w:lang w:eastAsia="cs-CZ"/>
        </w:rPr>
        <w:t xml:space="preserve"> </w:t>
      </w:r>
      <w:r w:rsidR="00F61C32">
        <w:rPr>
          <w:rFonts w:ascii="Arial" w:hAnsi="Arial" w:cs="Arial"/>
          <w:lang w:eastAsia="cs-CZ"/>
        </w:rPr>
        <w:t>rostou i nároky CENTRAL GROUP na personální obsazení. Společnost každoročně zahajuje výstavbu více než tisícovky bytů, což je na českém trhu zdaleka n</w:t>
      </w:r>
      <w:r w:rsidR="00A65E71">
        <w:rPr>
          <w:rFonts w:ascii="Arial" w:hAnsi="Arial" w:cs="Arial"/>
          <w:lang w:eastAsia="cs-CZ"/>
        </w:rPr>
        <w:t xml:space="preserve">ejvyšší </w:t>
      </w:r>
      <w:r w:rsidR="006B3A10">
        <w:rPr>
          <w:rFonts w:ascii="Arial" w:hAnsi="Arial" w:cs="Arial"/>
          <w:lang w:eastAsia="cs-CZ"/>
        </w:rPr>
        <w:t>stavební aktivit</w:t>
      </w:r>
      <w:r w:rsidR="00F61C32">
        <w:rPr>
          <w:rFonts w:ascii="Arial" w:hAnsi="Arial" w:cs="Arial"/>
          <w:lang w:eastAsia="cs-CZ"/>
        </w:rPr>
        <w:t>a</w:t>
      </w:r>
      <w:r w:rsidR="006B3A10">
        <w:rPr>
          <w:rFonts w:ascii="Arial" w:hAnsi="Arial" w:cs="Arial"/>
          <w:lang w:eastAsia="cs-CZ"/>
        </w:rPr>
        <w:t xml:space="preserve">, která se </w:t>
      </w:r>
      <w:r w:rsidR="00BE16F3">
        <w:rPr>
          <w:rFonts w:ascii="Arial" w:hAnsi="Arial" w:cs="Arial"/>
          <w:lang w:eastAsia="cs-CZ"/>
        </w:rPr>
        <w:t>výrazně</w:t>
      </w:r>
      <w:r w:rsidR="008204B5">
        <w:rPr>
          <w:rFonts w:ascii="Arial" w:hAnsi="Arial" w:cs="Arial"/>
          <w:lang w:eastAsia="cs-CZ"/>
        </w:rPr>
        <w:t xml:space="preserve"> vzdaluje </w:t>
      </w:r>
      <w:r w:rsidR="00F61C32">
        <w:rPr>
          <w:rFonts w:ascii="Arial" w:hAnsi="Arial" w:cs="Arial"/>
          <w:lang w:eastAsia="cs-CZ"/>
        </w:rPr>
        <w:t xml:space="preserve">všem </w:t>
      </w:r>
      <w:r w:rsidR="00494417">
        <w:rPr>
          <w:rFonts w:ascii="Arial" w:hAnsi="Arial" w:cs="Arial"/>
          <w:lang w:eastAsia="cs-CZ"/>
        </w:rPr>
        <w:t>ostatní</w:t>
      </w:r>
      <w:r w:rsidR="00F61C32">
        <w:rPr>
          <w:rFonts w:ascii="Arial" w:hAnsi="Arial" w:cs="Arial"/>
          <w:lang w:eastAsia="cs-CZ"/>
        </w:rPr>
        <w:t>m českým developerům.</w:t>
      </w:r>
      <w:r w:rsidR="006F2014">
        <w:rPr>
          <w:rFonts w:ascii="Arial" w:hAnsi="Arial" w:cs="Arial"/>
          <w:lang w:eastAsia="cs-CZ"/>
        </w:rPr>
        <w:t xml:space="preserve"> Díky tomu nabízí široké možnosti seberealizace nejen talentům uvnitř firmy, s nimiž pracuje dlouhodobě, ale je také otevřena talentům zvenčí.</w:t>
      </w:r>
    </w:p>
    <w:p w:rsidR="006F2014" w:rsidRDefault="006F2014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494417" w:rsidRDefault="00494417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600213" w:rsidRDefault="00600213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600213" w:rsidRDefault="00600213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E2132E" w:rsidRDefault="00E2132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2132E">
        <w:rPr>
          <w:rFonts w:ascii="Arial" w:hAnsi="Arial" w:cs="Arial"/>
          <w:i/>
          <w:lang w:eastAsia="cs-CZ"/>
        </w:rPr>
        <w:t>„</w:t>
      </w:r>
      <w:r w:rsidR="00B84C02">
        <w:rPr>
          <w:rFonts w:ascii="Arial" w:hAnsi="Arial" w:cs="Arial"/>
          <w:i/>
          <w:lang w:eastAsia="cs-CZ"/>
        </w:rPr>
        <w:t xml:space="preserve">Jen v posledních dvou letech </w:t>
      </w:r>
      <w:r w:rsidR="006F2014">
        <w:rPr>
          <w:rFonts w:ascii="Arial" w:hAnsi="Arial" w:cs="Arial"/>
          <w:i/>
          <w:lang w:eastAsia="cs-CZ"/>
        </w:rPr>
        <w:t xml:space="preserve">zvýšil CENTRAL GROUP počet svých </w:t>
      </w:r>
      <w:r w:rsidR="00B84C02">
        <w:rPr>
          <w:rFonts w:ascii="Arial" w:hAnsi="Arial" w:cs="Arial"/>
          <w:i/>
          <w:lang w:eastAsia="cs-CZ"/>
        </w:rPr>
        <w:t xml:space="preserve">zaměstnanců o třetinu, ze zhruba 180 na nynějších 240. </w:t>
      </w:r>
      <w:r w:rsidRPr="00E2132E">
        <w:rPr>
          <w:rFonts w:ascii="Arial" w:hAnsi="Arial" w:cs="Arial"/>
          <w:i/>
          <w:lang w:eastAsia="cs-CZ"/>
        </w:rPr>
        <w:t xml:space="preserve">S rozšiřujícími </w:t>
      </w:r>
      <w:r w:rsidR="0093017D">
        <w:rPr>
          <w:rFonts w:ascii="Arial" w:hAnsi="Arial" w:cs="Arial"/>
          <w:i/>
          <w:lang w:eastAsia="cs-CZ"/>
        </w:rPr>
        <w:t xml:space="preserve">se </w:t>
      </w:r>
      <w:r w:rsidRPr="00E2132E">
        <w:rPr>
          <w:rFonts w:ascii="Arial" w:hAnsi="Arial" w:cs="Arial"/>
          <w:i/>
          <w:lang w:eastAsia="cs-CZ"/>
        </w:rPr>
        <w:t xml:space="preserve">aktivitami společnosti a vstupem do zcela nových tržních segmentů dáváme zájemcům </w:t>
      </w:r>
      <w:r w:rsidR="00761239">
        <w:rPr>
          <w:rFonts w:ascii="Arial" w:hAnsi="Arial" w:cs="Arial"/>
          <w:i/>
          <w:lang w:eastAsia="cs-CZ"/>
        </w:rPr>
        <w:t xml:space="preserve">o zaměstnání </w:t>
      </w:r>
      <w:r w:rsidRPr="00E2132E">
        <w:rPr>
          <w:rFonts w:ascii="Arial" w:hAnsi="Arial" w:cs="Arial"/>
          <w:i/>
          <w:lang w:eastAsia="cs-CZ"/>
        </w:rPr>
        <w:t>šanci uplatnit své zkušenosti</w:t>
      </w:r>
      <w:r w:rsidR="00BE16F3">
        <w:rPr>
          <w:rFonts w:ascii="Arial" w:hAnsi="Arial" w:cs="Arial"/>
          <w:i/>
          <w:lang w:eastAsia="cs-CZ"/>
        </w:rPr>
        <w:t>, talent</w:t>
      </w:r>
      <w:r w:rsidRPr="00E2132E">
        <w:rPr>
          <w:rFonts w:ascii="Arial" w:hAnsi="Arial" w:cs="Arial"/>
          <w:i/>
          <w:lang w:eastAsia="cs-CZ"/>
        </w:rPr>
        <w:t xml:space="preserve"> i neotřelé originální nápady,“</w:t>
      </w:r>
      <w:r>
        <w:rPr>
          <w:rFonts w:ascii="Arial" w:hAnsi="Arial" w:cs="Arial"/>
          <w:lang w:eastAsia="cs-CZ"/>
        </w:rPr>
        <w:t xml:space="preserve"> vysvětluje Kunovský</w:t>
      </w:r>
      <w:r w:rsidR="006F2014">
        <w:rPr>
          <w:rFonts w:ascii="Arial" w:hAnsi="Arial" w:cs="Arial"/>
          <w:lang w:eastAsia="cs-CZ"/>
        </w:rPr>
        <w:t>.</w:t>
      </w:r>
    </w:p>
    <w:p w:rsidR="00E2132E" w:rsidRDefault="00E2132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029B" w:rsidRPr="0022029B" w:rsidRDefault="0022029B" w:rsidP="00651991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22029B">
        <w:rPr>
          <w:rFonts w:ascii="Arial" w:hAnsi="Arial" w:cs="Arial"/>
          <w:b/>
          <w:sz w:val="23"/>
          <w:szCs w:val="23"/>
          <w:lang w:eastAsia="cs-CZ"/>
        </w:rPr>
        <w:t xml:space="preserve">Možnost </w:t>
      </w:r>
      <w:r w:rsidR="006F2014">
        <w:rPr>
          <w:rFonts w:ascii="Arial" w:hAnsi="Arial" w:cs="Arial"/>
          <w:b/>
          <w:sz w:val="23"/>
          <w:szCs w:val="23"/>
          <w:lang w:eastAsia="cs-CZ"/>
        </w:rPr>
        <w:t>vytvářet v</w:t>
      </w:r>
      <w:r w:rsidRPr="0022029B">
        <w:rPr>
          <w:rFonts w:ascii="Arial" w:hAnsi="Arial" w:cs="Arial"/>
          <w:b/>
          <w:sz w:val="23"/>
          <w:szCs w:val="23"/>
          <w:lang w:eastAsia="cs-CZ"/>
        </w:rPr>
        <w:t>elk</w:t>
      </w:r>
      <w:r w:rsidR="00E2132E">
        <w:rPr>
          <w:rFonts w:ascii="Arial" w:hAnsi="Arial" w:cs="Arial"/>
          <w:b/>
          <w:sz w:val="23"/>
          <w:szCs w:val="23"/>
          <w:lang w:eastAsia="cs-CZ"/>
        </w:rPr>
        <w:t>é</w:t>
      </w:r>
      <w:r w:rsidRPr="0022029B">
        <w:rPr>
          <w:rFonts w:ascii="Arial" w:hAnsi="Arial" w:cs="Arial"/>
          <w:b/>
          <w:sz w:val="23"/>
          <w:szCs w:val="23"/>
          <w:lang w:eastAsia="cs-CZ"/>
        </w:rPr>
        <w:t xml:space="preserve"> věc</w:t>
      </w:r>
      <w:r w:rsidR="006F2014">
        <w:rPr>
          <w:rFonts w:ascii="Arial" w:hAnsi="Arial" w:cs="Arial"/>
          <w:b/>
          <w:sz w:val="23"/>
          <w:szCs w:val="23"/>
          <w:lang w:eastAsia="cs-CZ"/>
        </w:rPr>
        <w:t>i</w:t>
      </w:r>
      <w:r w:rsidRPr="0022029B">
        <w:rPr>
          <w:rFonts w:ascii="Arial" w:hAnsi="Arial" w:cs="Arial"/>
          <w:b/>
          <w:sz w:val="23"/>
          <w:szCs w:val="23"/>
          <w:lang w:eastAsia="cs-CZ"/>
        </w:rPr>
        <w:t>, stabilita a široká nabídka benefitů</w:t>
      </w:r>
    </w:p>
    <w:p w:rsidR="0022029B" w:rsidRPr="0022029B" w:rsidRDefault="0022029B" w:rsidP="00651991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E2132E" w:rsidRDefault="00E2132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Jako největší český rezidenční developer nabízí CENTRAL GROUP ojedinělou možnost sebe</w:t>
      </w:r>
      <w:r w:rsidR="0022029B">
        <w:rPr>
          <w:rFonts w:ascii="Arial" w:hAnsi="Arial" w:cs="Arial"/>
          <w:lang w:eastAsia="cs-CZ"/>
        </w:rPr>
        <w:t xml:space="preserve">realizace </w:t>
      </w:r>
      <w:r w:rsidR="00B84C02">
        <w:rPr>
          <w:rFonts w:ascii="Arial" w:hAnsi="Arial" w:cs="Arial"/>
          <w:lang w:eastAsia="cs-CZ"/>
        </w:rPr>
        <w:t>a kariérního postupu</w:t>
      </w:r>
      <w:r w:rsidR="00BE16F3">
        <w:rPr>
          <w:rFonts w:ascii="Arial" w:hAnsi="Arial" w:cs="Arial"/>
          <w:lang w:eastAsia="cs-CZ"/>
        </w:rPr>
        <w:t xml:space="preserve"> pro řadové i manažerské pozice</w:t>
      </w:r>
      <w:r>
        <w:rPr>
          <w:rFonts w:ascii="Arial" w:hAnsi="Arial" w:cs="Arial"/>
          <w:lang w:eastAsia="cs-CZ"/>
        </w:rPr>
        <w:t>. Více než 13</w:t>
      </w:r>
      <w:r w:rsidR="00B84C02">
        <w:rPr>
          <w:rFonts w:ascii="Arial" w:hAnsi="Arial" w:cs="Arial"/>
          <w:lang w:eastAsia="cs-CZ"/>
        </w:rPr>
        <w:t>5</w:t>
      </w:r>
      <w:r>
        <w:rPr>
          <w:rFonts w:ascii="Arial" w:hAnsi="Arial" w:cs="Arial"/>
          <w:lang w:eastAsia="cs-CZ"/>
        </w:rPr>
        <w:t xml:space="preserve"> dokončených rezidenčních lokalit nesmazatelně změnilo tvář hlavního města a životy tisíců klientů, kteří v nemovitostech od CENTRAL GROUP našli nový domov. </w:t>
      </w:r>
    </w:p>
    <w:p w:rsidR="00261752" w:rsidRDefault="0026175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029B" w:rsidRDefault="00E2132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261752">
        <w:rPr>
          <w:rFonts w:ascii="Arial" w:hAnsi="Arial" w:cs="Arial"/>
          <w:i/>
          <w:lang w:eastAsia="cs-CZ"/>
        </w:rPr>
        <w:t>„</w:t>
      </w:r>
      <w:r w:rsidR="00261752" w:rsidRPr="00261752">
        <w:rPr>
          <w:rFonts w:ascii="Arial" w:hAnsi="Arial" w:cs="Arial"/>
          <w:i/>
          <w:lang w:eastAsia="cs-CZ"/>
        </w:rPr>
        <w:t xml:space="preserve">S plánovaným rozvojem </w:t>
      </w:r>
      <w:r w:rsidR="00115E73">
        <w:rPr>
          <w:rFonts w:ascii="Arial" w:hAnsi="Arial" w:cs="Arial"/>
          <w:i/>
          <w:lang w:eastAsia="cs-CZ"/>
        </w:rPr>
        <w:t xml:space="preserve">velkých </w:t>
      </w:r>
      <w:r w:rsidR="00261752" w:rsidRPr="00261752">
        <w:rPr>
          <w:rFonts w:ascii="Arial" w:hAnsi="Arial" w:cs="Arial"/>
          <w:i/>
          <w:lang w:eastAsia="cs-CZ"/>
        </w:rPr>
        <w:t xml:space="preserve">urbanistických celků na </w:t>
      </w:r>
      <w:r w:rsidR="0093017D">
        <w:rPr>
          <w:rFonts w:ascii="Arial" w:hAnsi="Arial" w:cs="Arial"/>
          <w:i/>
          <w:lang w:eastAsia="cs-CZ"/>
        </w:rPr>
        <w:t>pražských</w:t>
      </w:r>
      <w:r w:rsidR="00261752" w:rsidRPr="00261752">
        <w:rPr>
          <w:rFonts w:ascii="Arial" w:hAnsi="Arial" w:cs="Arial"/>
          <w:i/>
          <w:lang w:eastAsia="cs-CZ"/>
        </w:rPr>
        <w:t xml:space="preserve"> </w:t>
      </w:r>
      <w:proofErr w:type="spellStart"/>
      <w:r w:rsidR="00261752" w:rsidRPr="00261752">
        <w:rPr>
          <w:rFonts w:ascii="Arial" w:hAnsi="Arial" w:cs="Arial"/>
          <w:i/>
          <w:lang w:eastAsia="cs-CZ"/>
        </w:rPr>
        <w:t>brownfieldech</w:t>
      </w:r>
      <w:proofErr w:type="spellEnd"/>
      <w:r w:rsidR="00115E73">
        <w:rPr>
          <w:rFonts w:ascii="Arial" w:hAnsi="Arial" w:cs="Arial"/>
          <w:i/>
          <w:lang w:eastAsia="cs-CZ"/>
        </w:rPr>
        <w:t xml:space="preserve"> </w:t>
      </w:r>
      <w:r w:rsidR="00261752" w:rsidRPr="00261752">
        <w:rPr>
          <w:rFonts w:ascii="Arial" w:hAnsi="Arial" w:cs="Arial"/>
          <w:i/>
          <w:lang w:eastAsia="cs-CZ"/>
        </w:rPr>
        <w:t>bud</w:t>
      </w:r>
      <w:r w:rsidR="00115E73">
        <w:rPr>
          <w:rFonts w:ascii="Arial" w:hAnsi="Arial" w:cs="Arial"/>
          <w:i/>
          <w:lang w:eastAsia="cs-CZ"/>
        </w:rPr>
        <w:t xml:space="preserve">ou možnosti seberealizace v CENTRAL GROUP ještě </w:t>
      </w:r>
      <w:r w:rsidR="00261752" w:rsidRPr="00261752">
        <w:rPr>
          <w:rFonts w:ascii="Arial" w:hAnsi="Arial" w:cs="Arial"/>
          <w:i/>
          <w:lang w:eastAsia="cs-CZ"/>
        </w:rPr>
        <w:t xml:space="preserve">narůstat. </w:t>
      </w:r>
      <w:r w:rsidR="00115E73">
        <w:rPr>
          <w:rFonts w:ascii="Arial" w:hAnsi="Arial" w:cs="Arial"/>
          <w:i/>
          <w:lang w:eastAsia="cs-CZ"/>
        </w:rPr>
        <w:t>P</w:t>
      </w:r>
      <w:r w:rsidRPr="00261752">
        <w:rPr>
          <w:rFonts w:ascii="Arial" w:hAnsi="Arial" w:cs="Arial"/>
          <w:i/>
          <w:lang w:eastAsia="cs-CZ"/>
        </w:rPr>
        <w:t xml:space="preserve">racovat </w:t>
      </w:r>
      <w:r w:rsidR="00115E73">
        <w:rPr>
          <w:rFonts w:ascii="Arial" w:hAnsi="Arial" w:cs="Arial"/>
          <w:i/>
          <w:lang w:eastAsia="cs-CZ"/>
        </w:rPr>
        <w:t xml:space="preserve">u nás </w:t>
      </w:r>
      <w:r w:rsidRPr="00261752">
        <w:rPr>
          <w:rFonts w:ascii="Arial" w:hAnsi="Arial" w:cs="Arial"/>
          <w:i/>
          <w:lang w:eastAsia="cs-CZ"/>
        </w:rPr>
        <w:t>znamená s</w:t>
      </w:r>
      <w:r w:rsidR="0022029B" w:rsidRPr="00261752">
        <w:rPr>
          <w:rFonts w:ascii="Arial" w:hAnsi="Arial" w:cs="Arial"/>
          <w:i/>
          <w:lang w:eastAsia="cs-CZ"/>
        </w:rPr>
        <w:t xml:space="preserve">polečně </w:t>
      </w:r>
      <w:r w:rsidR="006F2014">
        <w:rPr>
          <w:rFonts w:ascii="Arial" w:hAnsi="Arial" w:cs="Arial"/>
          <w:i/>
          <w:lang w:eastAsia="cs-CZ"/>
        </w:rPr>
        <w:t xml:space="preserve">vytvářet opravdu </w:t>
      </w:r>
      <w:r w:rsidR="0022029B" w:rsidRPr="00261752">
        <w:rPr>
          <w:rFonts w:ascii="Arial" w:hAnsi="Arial" w:cs="Arial"/>
          <w:i/>
          <w:lang w:eastAsia="cs-CZ"/>
        </w:rPr>
        <w:t>velké věci</w:t>
      </w:r>
      <w:r w:rsidRPr="00261752">
        <w:rPr>
          <w:rFonts w:ascii="Arial" w:hAnsi="Arial" w:cs="Arial"/>
          <w:i/>
          <w:lang w:eastAsia="cs-CZ"/>
        </w:rPr>
        <w:t xml:space="preserve"> a </w:t>
      </w:r>
      <w:r w:rsidR="006F2014">
        <w:rPr>
          <w:rFonts w:ascii="Arial" w:hAnsi="Arial" w:cs="Arial"/>
          <w:i/>
          <w:lang w:eastAsia="cs-CZ"/>
        </w:rPr>
        <w:t xml:space="preserve">podílet se na komplexní a </w:t>
      </w:r>
      <w:r w:rsidRPr="00261752">
        <w:rPr>
          <w:rFonts w:ascii="Arial" w:hAnsi="Arial" w:cs="Arial"/>
          <w:i/>
          <w:lang w:eastAsia="cs-CZ"/>
        </w:rPr>
        <w:t>hodnot</w:t>
      </w:r>
      <w:r w:rsidR="006F2014">
        <w:rPr>
          <w:rFonts w:ascii="Arial" w:hAnsi="Arial" w:cs="Arial"/>
          <w:i/>
          <w:lang w:eastAsia="cs-CZ"/>
        </w:rPr>
        <w:t xml:space="preserve">né městské architektuře, </w:t>
      </w:r>
      <w:r w:rsidRPr="00261752">
        <w:rPr>
          <w:rFonts w:ascii="Arial" w:hAnsi="Arial" w:cs="Arial"/>
          <w:i/>
          <w:lang w:eastAsia="cs-CZ"/>
        </w:rPr>
        <w:t>kter</w:t>
      </w:r>
      <w:r w:rsidR="006F2014">
        <w:rPr>
          <w:rFonts w:ascii="Arial" w:hAnsi="Arial" w:cs="Arial"/>
          <w:i/>
          <w:lang w:eastAsia="cs-CZ"/>
        </w:rPr>
        <w:t>á</w:t>
      </w:r>
      <w:r w:rsidRPr="00261752">
        <w:rPr>
          <w:rFonts w:ascii="Arial" w:hAnsi="Arial" w:cs="Arial"/>
          <w:i/>
          <w:lang w:eastAsia="cs-CZ"/>
        </w:rPr>
        <w:t xml:space="preserve"> přetrv</w:t>
      </w:r>
      <w:r w:rsidR="006F2014">
        <w:rPr>
          <w:rFonts w:ascii="Arial" w:hAnsi="Arial" w:cs="Arial"/>
          <w:i/>
          <w:lang w:eastAsia="cs-CZ"/>
        </w:rPr>
        <w:t xml:space="preserve">á </w:t>
      </w:r>
      <w:r w:rsidRPr="00261752">
        <w:rPr>
          <w:rFonts w:ascii="Arial" w:hAnsi="Arial" w:cs="Arial"/>
          <w:i/>
          <w:lang w:eastAsia="cs-CZ"/>
        </w:rPr>
        <w:t>stovky let,“</w:t>
      </w:r>
      <w:r>
        <w:rPr>
          <w:rFonts w:ascii="Arial" w:hAnsi="Arial" w:cs="Arial"/>
          <w:lang w:eastAsia="cs-CZ"/>
        </w:rPr>
        <w:t xml:space="preserve"> dodává Kunovský.</w:t>
      </w:r>
      <w:r w:rsidR="006F2014">
        <w:rPr>
          <w:rFonts w:ascii="Arial" w:hAnsi="Arial" w:cs="Arial"/>
          <w:lang w:eastAsia="cs-CZ"/>
        </w:rPr>
        <w:t xml:space="preserve"> Naráží tím na </w:t>
      </w:r>
      <w:r w:rsidR="00494417">
        <w:rPr>
          <w:rFonts w:ascii="Arial" w:hAnsi="Arial" w:cs="Arial"/>
          <w:lang w:eastAsia="cs-CZ"/>
        </w:rPr>
        <w:t>realizaci nových městských čtvrtí s mnoha tisíci byty včetně kvalitních veřejných ploch, městské zeleně a prostorů pro obchody a služby, které CENTRAL GROUP plánuje ve spolupráci s předními český</w:t>
      </w:r>
      <w:r w:rsidR="00115E73">
        <w:rPr>
          <w:rFonts w:ascii="Arial" w:hAnsi="Arial" w:cs="Arial"/>
          <w:lang w:eastAsia="cs-CZ"/>
        </w:rPr>
        <w:t>mi architektonickými studii, jakými jsou například</w:t>
      </w:r>
      <w:r w:rsidR="00494417">
        <w:rPr>
          <w:rFonts w:ascii="Arial" w:hAnsi="Arial" w:cs="Arial"/>
          <w:lang w:eastAsia="cs-CZ"/>
        </w:rPr>
        <w:t xml:space="preserve"> </w:t>
      </w:r>
      <w:r w:rsidR="00115E73">
        <w:rPr>
          <w:rFonts w:ascii="Arial" w:hAnsi="Arial" w:cs="Arial"/>
          <w:lang w:eastAsia="cs-CZ"/>
        </w:rPr>
        <w:t xml:space="preserve">ateliéry </w:t>
      </w:r>
      <w:r w:rsidR="00494417" w:rsidRPr="00494417">
        <w:rPr>
          <w:rFonts w:ascii="Arial" w:hAnsi="Arial" w:cs="Arial"/>
          <w:lang w:eastAsia="cs-CZ"/>
        </w:rPr>
        <w:t>Josef</w:t>
      </w:r>
      <w:r w:rsidR="00115E73">
        <w:rPr>
          <w:rFonts w:ascii="Arial" w:hAnsi="Arial" w:cs="Arial"/>
          <w:lang w:eastAsia="cs-CZ"/>
        </w:rPr>
        <w:t>a</w:t>
      </w:r>
      <w:r w:rsidR="00494417" w:rsidRPr="00494417">
        <w:rPr>
          <w:rFonts w:ascii="Arial" w:hAnsi="Arial" w:cs="Arial"/>
          <w:lang w:eastAsia="cs-CZ"/>
        </w:rPr>
        <w:t xml:space="preserve"> Pleskot</w:t>
      </w:r>
      <w:r w:rsidR="00115E73">
        <w:rPr>
          <w:rFonts w:ascii="Arial" w:hAnsi="Arial" w:cs="Arial"/>
          <w:lang w:eastAsia="cs-CZ"/>
        </w:rPr>
        <w:t>a</w:t>
      </w:r>
      <w:r w:rsidR="00494417">
        <w:rPr>
          <w:rFonts w:ascii="Arial" w:hAnsi="Arial" w:cs="Arial"/>
          <w:lang w:eastAsia="cs-CZ"/>
        </w:rPr>
        <w:t xml:space="preserve"> nebo Jakub</w:t>
      </w:r>
      <w:r w:rsidR="00115E73">
        <w:rPr>
          <w:rFonts w:ascii="Arial" w:hAnsi="Arial" w:cs="Arial"/>
          <w:lang w:eastAsia="cs-CZ"/>
        </w:rPr>
        <w:t>a</w:t>
      </w:r>
      <w:r w:rsidR="00494417">
        <w:rPr>
          <w:rFonts w:ascii="Arial" w:hAnsi="Arial" w:cs="Arial"/>
          <w:lang w:eastAsia="cs-CZ"/>
        </w:rPr>
        <w:t xml:space="preserve"> Cigler</w:t>
      </w:r>
      <w:r w:rsidR="00115E73">
        <w:rPr>
          <w:rFonts w:ascii="Arial" w:hAnsi="Arial" w:cs="Arial"/>
          <w:lang w:eastAsia="cs-CZ"/>
        </w:rPr>
        <w:t>a</w:t>
      </w:r>
      <w:r w:rsidR="00494417">
        <w:rPr>
          <w:rFonts w:ascii="Arial" w:hAnsi="Arial" w:cs="Arial"/>
          <w:lang w:eastAsia="cs-CZ"/>
        </w:rPr>
        <w:t>.</w:t>
      </w:r>
    </w:p>
    <w:p w:rsidR="0022029B" w:rsidRDefault="0022029B" w:rsidP="0022029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94417" w:rsidRDefault="00261752" w:rsidP="00261752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 prací u největšího českého developera jsou vedle atraktivního finančního ohodnocení spojeny i další benefity. Kromě těch na české poměry obvyklých, jakými jsou například </w:t>
      </w:r>
      <w:r w:rsidR="0022029B">
        <w:rPr>
          <w:rFonts w:ascii="Arial" w:hAnsi="Arial" w:cs="Arial"/>
          <w:lang w:eastAsia="cs-CZ"/>
        </w:rPr>
        <w:t>f</w:t>
      </w:r>
      <w:r w:rsidR="0022029B" w:rsidRPr="0022029B">
        <w:rPr>
          <w:rFonts w:ascii="Arial" w:hAnsi="Arial" w:cs="Arial"/>
          <w:lang w:eastAsia="cs-CZ"/>
        </w:rPr>
        <w:t>iremní</w:t>
      </w:r>
      <w:r w:rsidR="0022029B">
        <w:rPr>
          <w:rFonts w:ascii="Arial" w:hAnsi="Arial" w:cs="Arial"/>
          <w:lang w:eastAsia="cs-CZ"/>
        </w:rPr>
        <w:t xml:space="preserve"> </w:t>
      </w:r>
      <w:r w:rsidR="0022029B" w:rsidRPr="0022029B">
        <w:rPr>
          <w:rFonts w:ascii="Arial" w:hAnsi="Arial" w:cs="Arial"/>
          <w:lang w:eastAsia="cs-CZ"/>
        </w:rPr>
        <w:t>akce</w:t>
      </w:r>
      <w:r w:rsidR="006F2014">
        <w:rPr>
          <w:rFonts w:ascii="Arial" w:hAnsi="Arial" w:cs="Arial"/>
          <w:lang w:eastAsia="cs-CZ"/>
        </w:rPr>
        <w:t xml:space="preserve">, jazykové kurzy nebo </w:t>
      </w:r>
      <w:r w:rsidR="0022029B">
        <w:rPr>
          <w:rFonts w:ascii="Arial" w:hAnsi="Arial" w:cs="Arial"/>
          <w:lang w:eastAsia="cs-CZ"/>
        </w:rPr>
        <w:t>s</w:t>
      </w:r>
      <w:r w:rsidR="0022029B" w:rsidRPr="0022029B">
        <w:rPr>
          <w:rFonts w:ascii="Arial" w:hAnsi="Arial" w:cs="Arial"/>
          <w:lang w:eastAsia="cs-CZ"/>
        </w:rPr>
        <w:t>travenky</w:t>
      </w:r>
      <w:r w:rsidR="00B84C02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 xml:space="preserve">nabízí CENTRAL GROUP </w:t>
      </w:r>
      <w:r w:rsidR="0022029B">
        <w:rPr>
          <w:rFonts w:ascii="Arial" w:hAnsi="Arial" w:cs="Arial"/>
          <w:lang w:eastAsia="cs-CZ"/>
        </w:rPr>
        <w:t>i c</w:t>
      </w:r>
      <w:r>
        <w:rPr>
          <w:rFonts w:ascii="Arial" w:hAnsi="Arial" w:cs="Arial"/>
          <w:lang w:eastAsia="cs-CZ"/>
        </w:rPr>
        <w:t>elou řadu specifických benefitů.</w:t>
      </w:r>
      <w:r w:rsidR="0022029B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Ty </w:t>
      </w:r>
      <w:r w:rsidR="0022029B">
        <w:rPr>
          <w:rFonts w:ascii="Arial" w:hAnsi="Arial" w:cs="Arial"/>
          <w:lang w:eastAsia="cs-CZ"/>
        </w:rPr>
        <w:t xml:space="preserve">může poskytnout jen </w:t>
      </w:r>
      <w:r>
        <w:rPr>
          <w:rFonts w:ascii="Arial" w:hAnsi="Arial" w:cs="Arial"/>
          <w:lang w:eastAsia="cs-CZ"/>
        </w:rPr>
        <w:t xml:space="preserve">dlouhodobě mimořádně </w:t>
      </w:r>
      <w:r w:rsidR="006F2014">
        <w:rPr>
          <w:rFonts w:ascii="Arial" w:hAnsi="Arial" w:cs="Arial"/>
          <w:lang w:eastAsia="cs-CZ"/>
        </w:rPr>
        <w:t>stabilní zaměstnavatel s</w:t>
      </w:r>
      <w:r w:rsidR="0022029B">
        <w:rPr>
          <w:rFonts w:ascii="Arial" w:hAnsi="Arial" w:cs="Arial"/>
          <w:lang w:eastAsia="cs-CZ"/>
        </w:rPr>
        <w:t>e silným kapitálovým zázemím. Patří sem zejména nízkoúročené půjčky</w:t>
      </w:r>
      <w:r>
        <w:rPr>
          <w:rFonts w:ascii="Arial" w:hAnsi="Arial" w:cs="Arial"/>
          <w:lang w:eastAsia="cs-CZ"/>
        </w:rPr>
        <w:t xml:space="preserve"> pro zaměstnance</w:t>
      </w:r>
      <w:r w:rsidR="00B071A1">
        <w:rPr>
          <w:rFonts w:ascii="Arial" w:hAnsi="Arial" w:cs="Arial"/>
          <w:lang w:eastAsia="cs-CZ"/>
        </w:rPr>
        <w:t xml:space="preserve"> nebo</w:t>
      </w:r>
      <w:r w:rsidR="0022029B">
        <w:rPr>
          <w:rFonts w:ascii="Arial" w:hAnsi="Arial" w:cs="Arial"/>
          <w:lang w:eastAsia="cs-CZ"/>
        </w:rPr>
        <w:t xml:space="preserve"> s</w:t>
      </w:r>
      <w:r w:rsidR="0022029B" w:rsidRPr="0022029B">
        <w:rPr>
          <w:rFonts w:ascii="Arial" w:hAnsi="Arial" w:cs="Arial"/>
          <w:lang w:eastAsia="cs-CZ"/>
        </w:rPr>
        <w:t>levy na produkty společnosti</w:t>
      </w:r>
      <w:r w:rsidR="0022029B">
        <w:rPr>
          <w:rFonts w:ascii="Arial" w:hAnsi="Arial" w:cs="Arial"/>
          <w:lang w:eastAsia="cs-CZ"/>
        </w:rPr>
        <w:t xml:space="preserve"> a spolupracujících dodavatelů</w:t>
      </w:r>
      <w:r w:rsidR="00B071A1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>U manažerských pozic pak je</w:t>
      </w:r>
      <w:r w:rsidR="0022029B">
        <w:rPr>
          <w:rFonts w:ascii="Arial" w:hAnsi="Arial" w:cs="Arial"/>
          <w:lang w:eastAsia="cs-CZ"/>
        </w:rPr>
        <w:t xml:space="preserve"> samozřejmostí </w:t>
      </w:r>
      <w:r>
        <w:rPr>
          <w:rFonts w:ascii="Arial" w:hAnsi="Arial" w:cs="Arial"/>
          <w:lang w:eastAsia="cs-CZ"/>
        </w:rPr>
        <w:t xml:space="preserve">i </w:t>
      </w:r>
      <w:r w:rsidR="0022029B">
        <w:rPr>
          <w:rFonts w:ascii="Arial" w:hAnsi="Arial" w:cs="Arial"/>
          <w:lang w:eastAsia="cs-CZ"/>
        </w:rPr>
        <w:t xml:space="preserve">manažerský motivační program </w:t>
      </w:r>
      <w:r w:rsidR="007235A6">
        <w:rPr>
          <w:rFonts w:ascii="Arial" w:hAnsi="Arial" w:cs="Arial"/>
          <w:lang w:eastAsia="cs-CZ"/>
        </w:rPr>
        <w:t>a další specifické benefity</w:t>
      </w:r>
      <w:r w:rsidR="0022029B">
        <w:rPr>
          <w:rFonts w:ascii="Arial" w:hAnsi="Arial" w:cs="Arial"/>
          <w:lang w:eastAsia="cs-CZ"/>
        </w:rPr>
        <w:t xml:space="preserve">. </w:t>
      </w:r>
    </w:p>
    <w:p w:rsidR="00600213" w:rsidRDefault="00600213" w:rsidP="00261752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15E73" w:rsidRDefault="00115E73" w:rsidP="00261752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A33D48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A33D48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94417">
      <w:headerReference w:type="default" r:id="rId12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66" w:rsidRDefault="00845366" w:rsidP="00F25562">
      <w:pPr>
        <w:spacing w:after="0" w:line="240" w:lineRule="auto"/>
      </w:pPr>
      <w:r>
        <w:separator/>
      </w:r>
    </w:p>
  </w:endnote>
  <w:endnote w:type="continuationSeparator" w:id="0">
    <w:p w:rsidR="00845366" w:rsidRDefault="00845366" w:rsidP="00F2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66" w:rsidRDefault="00845366" w:rsidP="00F25562">
      <w:pPr>
        <w:spacing w:after="0" w:line="240" w:lineRule="auto"/>
      </w:pPr>
      <w:r>
        <w:separator/>
      </w:r>
    </w:p>
  </w:footnote>
  <w:footnote w:type="continuationSeparator" w:id="0">
    <w:p w:rsidR="00845366" w:rsidRDefault="00845366" w:rsidP="00F2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62" w:rsidRPr="00D763B7" w:rsidRDefault="00F25562" w:rsidP="00F25562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B70AF96" wp14:editId="5D0CEF0C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AE19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543B8C61" wp14:editId="0B854A18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F25562" w:rsidRPr="00D763B7" w:rsidRDefault="00F25562" w:rsidP="00F25562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7.7.2015</w:t>
    </w:r>
    <w:proofErr w:type="gramEnd"/>
  </w:p>
  <w:p w:rsidR="00F25562" w:rsidRDefault="00F25562" w:rsidP="00F25562">
    <w:pPr>
      <w:spacing w:after="0"/>
      <w:rPr>
        <w:rFonts w:ascii="Arial Black" w:hAnsi="Arial Black" w:cs="Arial"/>
        <w:b/>
        <w:sz w:val="28"/>
        <w:szCs w:val="28"/>
      </w:rPr>
    </w:pPr>
  </w:p>
  <w:p w:rsidR="00F25562" w:rsidRPr="00F25562" w:rsidRDefault="00F25562" w:rsidP="00F25562">
    <w:pPr>
      <w:spacing w:after="0"/>
      <w:rPr>
        <w:rFonts w:ascii="Arial Black" w:hAnsi="Arial Black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07876"/>
    <w:rsid w:val="00115E73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1F52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20BE"/>
    <w:rsid w:val="003B669D"/>
    <w:rsid w:val="003C4264"/>
    <w:rsid w:val="003E1A52"/>
    <w:rsid w:val="003E25B5"/>
    <w:rsid w:val="003E3EEE"/>
    <w:rsid w:val="003E4FDA"/>
    <w:rsid w:val="003E56EE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74F5D"/>
    <w:rsid w:val="00487B16"/>
    <w:rsid w:val="00490A3A"/>
    <w:rsid w:val="00491B22"/>
    <w:rsid w:val="00494417"/>
    <w:rsid w:val="004952C9"/>
    <w:rsid w:val="0049638C"/>
    <w:rsid w:val="00496B6A"/>
    <w:rsid w:val="004B31B4"/>
    <w:rsid w:val="004B7B91"/>
    <w:rsid w:val="004C0A81"/>
    <w:rsid w:val="004D053E"/>
    <w:rsid w:val="004D14BF"/>
    <w:rsid w:val="004D230C"/>
    <w:rsid w:val="004D3EFE"/>
    <w:rsid w:val="004D718C"/>
    <w:rsid w:val="004E48FD"/>
    <w:rsid w:val="004E53EE"/>
    <w:rsid w:val="004F4589"/>
    <w:rsid w:val="0050068F"/>
    <w:rsid w:val="005052C6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97169"/>
    <w:rsid w:val="005A1046"/>
    <w:rsid w:val="005A33B1"/>
    <w:rsid w:val="005A6A33"/>
    <w:rsid w:val="005B681C"/>
    <w:rsid w:val="005C710A"/>
    <w:rsid w:val="005E2124"/>
    <w:rsid w:val="005F5002"/>
    <w:rsid w:val="005F730C"/>
    <w:rsid w:val="00600213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424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6F2014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45366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94BB2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15B4"/>
    <w:rsid w:val="00924562"/>
    <w:rsid w:val="0092496C"/>
    <w:rsid w:val="0093017D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48D8"/>
    <w:rsid w:val="00A33D48"/>
    <w:rsid w:val="00A4200A"/>
    <w:rsid w:val="00A546ED"/>
    <w:rsid w:val="00A60931"/>
    <w:rsid w:val="00A61374"/>
    <w:rsid w:val="00A65E71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1A1"/>
    <w:rsid w:val="00B07550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84C02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16F3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85EC8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5562"/>
    <w:rsid w:val="00F265AB"/>
    <w:rsid w:val="00F31011"/>
    <w:rsid w:val="00F32404"/>
    <w:rsid w:val="00F40767"/>
    <w:rsid w:val="00F61C32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3A33-08C9-42BA-94CC-CFFC744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56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5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9B72-3847-4AD2-A74E-0472B6D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5</cp:revision>
  <cp:lastPrinted>2015-06-10T13:45:00Z</cp:lastPrinted>
  <dcterms:created xsi:type="dcterms:W3CDTF">2015-06-19T12:00:00Z</dcterms:created>
  <dcterms:modified xsi:type="dcterms:W3CDTF">2015-07-07T14:01:00Z</dcterms:modified>
</cp:coreProperties>
</file>