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5544EE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Byty</w:t>
      </w:r>
      <w:r w:rsidR="006458D8">
        <w:rPr>
          <w:rFonts w:ascii="Arial Black" w:hAnsi="Arial Black"/>
          <w:color w:val="000000" w:themeColor="text1"/>
          <w:sz w:val="28"/>
          <w:szCs w:val="28"/>
        </w:rPr>
        <w:t xml:space="preserve"> v Praze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zdražuje </w:t>
      </w:r>
      <w:r w:rsidR="006458D8">
        <w:rPr>
          <w:rFonts w:ascii="Arial Black" w:hAnsi="Arial Black"/>
          <w:color w:val="000000" w:themeColor="text1"/>
          <w:sz w:val="28"/>
          <w:szCs w:val="28"/>
        </w:rPr>
        <w:t xml:space="preserve">trestuhodná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nečinnost </w:t>
      </w:r>
      <w:r w:rsidR="002120A4">
        <w:rPr>
          <w:rFonts w:ascii="Arial Black" w:hAnsi="Arial Black"/>
          <w:color w:val="000000" w:themeColor="text1"/>
          <w:sz w:val="28"/>
          <w:szCs w:val="28"/>
        </w:rPr>
        <w:t xml:space="preserve">politiků a </w:t>
      </w:r>
      <w:r>
        <w:rPr>
          <w:rFonts w:ascii="Arial Black" w:hAnsi="Arial Black"/>
          <w:color w:val="000000" w:themeColor="text1"/>
          <w:sz w:val="28"/>
          <w:szCs w:val="28"/>
        </w:rPr>
        <w:t>úředníků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06253D" w:rsidRDefault="002C4DCA" w:rsidP="000625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5544EE">
        <w:rPr>
          <w:rFonts w:ascii="Arial" w:hAnsi="Arial" w:cs="Arial"/>
          <w:i/>
          <w:lang w:eastAsia="cs-CZ"/>
        </w:rPr>
        <w:t>8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5544EE">
        <w:rPr>
          <w:rFonts w:ascii="Arial" w:hAnsi="Arial" w:cs="Arial"/>
          <w:i/>
          <w:lang w:eastAsia="cs-CZ"/>
        </w:rPr>
        <w:t>8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06253D">
        <w:rPr>
          <w:rFonts w:ascii="Arial" w:hAnsi="Arial" w:cs="Arial"/>
          <w:i/>
          <w:lang w:eastAsia="cs-CZ"/>
        </w:rPr>
        <w:t xml:space="preserve"> </w:t>
      </w:r>
      <w:r w:rsidR="0006253D">
        <w:rPr>
          <w:rFonts w:ascii="Arial" w:hAnsi="Arial" w:cs="Arial"/>
          <w:b/>
        </w:rPr>
        <w:t>Za</w:t>
      </w:r>
      <w:r w:rsidR="0006253D" w:rsidRPr="00C95EF6">
        <w:rPr>
          <w:rFonts w:ascii="Arial" w:hAnsi="Arial" w:cs="Arial"/>
          <w:b/>
        </w:rPr>
        <w:t xml:space="preserve"> první </w:t>
      </w:r>
      <w:r w:rsidR="0006253D">
        <w:rPr>
          <w:rFonts w:ascii="Arial" w:hAnsi="Arial" w:cs="Arial"/>
          <w:b/>
        </w:rPr>
        <w:t>pololetí letošního roku v</w:t>
      </w:r>
      <w:r w:rsidR="0006253D" w:rsidRPr="00C95EF6">
        <w:rPr>
          <w:rFonts w:ascii="Arial" w:hAnsi="Arial" w:cs="Arial"/>
          <w:b/>
        </w:rPr>
        <w:t xml:space="preserve"> Praze klesl počet zahájených bytů v bytových domech o </w:t>
      </w:r>
      <w:r w:rsidR="00BD68A2">
        <w:rPr>
          <w:rFonts w:ascii="Arial" w:hAnsi="Arial" w:cs="Arial"/>
          <w:b/>
        </w:rPr>
        <w:t>80</w:t>
      </w:r>
      <w:r w:rsidR="0006253D">
        <w:rPr>
          <w:rFonts w:ascii="Arial" w:hAnsi="Arial" w:cs="Arial"/>
          <w:b/>
        </w:rPr>
        <w:t xml:space="preserve"> procent</w:t>
      </w:r>
      <w:r w:rsidR="0006253D" w:rsidRPr="00C95EF6">
        <w:rPr>
          <w:rFonts w:ascii="Arial" w:hAnsi="Arial" w:cs="Arial"/>
          <w:b/>
        </w:rPr>
        <w:t xml:space="preserve"> z loňských </w:t>
      </w:r>
      <w:r w:rsidR="0006253D">
        <w:rPr>
          <w:rFonts w:ascii="Arial" w:hAnsi="Arial" w:cs="Arial"/>
          <w:b/>
        </w:rPr>
        <w:t>2614</w:t>
      </w:r>
      <w:r w:rsidR="0006253D" w:rsidRPr="00C95EF6">
        <w:rPr>
          <w:rFonts w:ascii="Arial" w:hAnsi="Arial" w:cs="Arial"/>
          <w:b/>
        </w:rPr>
        <w:t xml:space="preserve"> na letošních </w:t>
      </w:r>
      <w:r w:rsidR="00FC3682">
        <w:rPr>
          <w:rFonts w:ascii="Arial" w:hAnsi="Arial" w:cs="Arial"/>
          <w:b/>
        </w:rPr>
        <w:t>522</w:t>
      </w:r>
      <w:r w:rsidR="0006253D" w:rsidRPr="00C95EF6">
        <w:rPr>
          <w:rFonts w:ascii="Arial" w:hAnsi="Arial" w:cs="Arial"/>
          <w:b/>
        </w:rPr>
        <w:t xml:space="preserve">. </w:t>
      </w:r>
      <w:r w:rsidR="0006253D">
        <w:rPr>
          <w:rFonts w:ascii="Arial" w:hAnsi="Arial" w:cs="Arial"/>
          <w:b/>
        </w:rPr>
        <w:t xml:space="preserve">Za stejné období přitom developeři prodali </w:t>
      </w:r>
      <w:r w:rsidR="006458D8">
        <w:rPr>
          <w:rFonts w:ascii="Arial" w:hAnsi="Arial" w:cs="Arial"/>
          <w:b/>
        </w:rPr>
        <w:t>3350</w:t>
      </w:r>
      <w:r w:rsidR="0006253D">
        <w:rPr>
          <w:rFonts w:ascii="Arial" w:hAnsi="Arial" w:cs="Arial"/>
          <w:b/>
        </w:rPr>
        <w:t xml:space="preserve"> nových bytů, tedy </w:t>
      </w:r>
      <w:r w:rsidR="00BD68A2">
        <w:rPr>
          <w:rFonts w:ascii="Arial" w:hAnsi="Arial" w:cs="Arial"/>
          <w:b/>
        </w:rPr>
        <w:t xml:space="preserve">více než šestkrát </w:t>
      </w:r>
      <w:r w:rsidR="00412E52">
        <w:rPr>
          <w:rFonts w:ascii="Arial" w:hAnsi="Arial" w:cs="Arial"/>
          <w:b/>
        </w:rPr>
        <w:t>tolik</w:t>
      </w:r>
      <w:r w:rsidR="0006253D">
        <w:rPr>
          <w:rFonts w:ascii="Arial" w:hAnsi="Arial" w:cs="Arial"/>
          <w:b/>
        </w:rPr>
        <w:t xml:space="preserve">, než byl počet tzv. zahájených, tedy těch, jejichž výstavbu úřady povolily. Tato obrovská disproporce se již projevuje růstem cen nových bytů. V době prodejního boomu vyvolaného levnými hypotékami </w:t>
      </w:r>
      <w:r w:rsidR="006458D8">
        <w:rPr>
          <w:rFonts w:ascii="Arial" w:hAnsi="Arial" w:cs="Arial"/>
          <w:b/>
        </w:rPr>
        <w:t>se totiž bytů začíná n</w:t>
      </w:r>
      <w:r w:rsidR="0006253D">
        <w:rPr>
          <w:rFonts w:ascii="Arial" w:hAnsi="Arial" w:cs="Arial"/>
          <w:b/>
        </w:rPr>
        <w:t>a trhu nedost</w:t>
      </w:r>
      <w:r w:rsidR="006458D8">
        <w:rPr>
          <w:rFonts w:ascii="Arial" w:hAnsi="Arial" w:cs="Arial"/>
          <w:b/>
        </w:rPr>
        <w:t>ávat</w:t>
      </w:r>
      <w:r w:rsidR="0006253D">
        <w:rPr>
          <w:rFonts w:ascii="Arial" w:hAnsi="Arial" w:cs="Arial"/>
          <w:b/>
        </w:rPr>
        <w:t>. Meziročně se tak ceny nového bydlení v Praze zvedly o téměř 19 procent.</w:t>
      </w:r>
    </w:p>
    <w:p w:rsidR="0006253D" w:rsidRPr="00634CC8" w:rsidRDefault="0006253D" w:rsidP="0006253D">
      <w:pPr>
        <w:jc w:val="both"/>
        <w:rPr>
          <w:rFonts w:ascii="Arial" w:hAnsi="Arial" w:cs="Arial"/>
        </w:rPr>
      </w:pPr>
      <w:r w:rsidRPr="00634CC8">
        <w:rPr>
          <w:rFonts w:ascii="Arial" w:hAnsi="Arial" w:cs="Arial"/>
        </w:rPr>
        <w:t xml:space="preserve">Propad </w:t>
      </w:r>
      <w:r>
        <w:rPr>
          <w:rFonts w:ascii="Arial" w:hAnsi="Arial" w:cs="Arial"/>
        </w:rPr>
        <w:t>P</w:t>
      </w:r>
      <w:r w:rsidRPr="00634CC8">
        <w:rPr>
          <w:rFonts w:ascii="Arial" w:hAnsi="Arial" w:cs="Arial"/>
        </w:rPr>
        <w:t>rahy je razantně viditelný také v poklesu jejího podílu na zahajovaných bytech v </w:t>
      </w:r>
      <w:r>
        <w:rPr>
          <w:rFonts w:ascii="Arial" w:hAnsi="Arial" w:cs="Arial"/>
        </w:rPr>
        <w:t>rámci</w:t>
      </w:r>
      <w:r w:rsidRPr="00634CC8">
        <w:rPr>
          <w:rFonts w:ascii="Arial" w:hAnsi="Arial" w:cs="Arial"/>
        </w:rPr>
        <w:t xml:space="preserve"> ČR. Zatímco vloni</w:t>
      </w:r>
      <w:r>
        <w:rPr>
          <w:rFonts w:ascii="Arial" w:hAnsi="Arial" w:cs="Arial"/>
        </w:rPr>
        <w:t xml:space="preserve"> se </w:t>
      </w:r>
      <w:r w:rsidRPr="00634CC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první pololetí</w:t>
      </w:r>
      <w:r w:rsidRPr="00634CC8">
        <w:rPr>
          <w:rFonts w:ascii="Arial" w:hAnsi="Arial" w:cs="Arial"/>
        </w:rPr>
        <w:t xml:space="preserve"> v Praze zahajovalo </w:t>
      </w:r>
      <w:r>
        <w:rPr>
          <w:rFonts w:ascii="Arial" w:hAnsi="Arial" w:cs="Arial"/>
        </w:rPr>
        <w:t>74</w:t>
      </w:r>
      <w:r w:rsidRPr="00634CC8">
        <w:rPr>
          <w:rFonts w:ascii="Arial" w:hAnsi="Arial" w:cs="Arial"/>
        </w:rPr>
        <w:t xml:space="preserve"> procent všech bytů v bytových domech, tedy </w:t>
      </w:r>
      <w:r>
        <w:rPr>
          <w:rFonts w:ascii="Arial" w:hAnsi="Arial" w:cs="Arial"/>
        </w:rPr>
        <w:t>v podstatě tři čtvrtiny</w:t>
      </w:r>
      <w:r w:rsidRPr="00634CC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 celé republiky, letos </w:t>
      </w:r>
      <w:r w:rsidRPr="00634CC8">
        <w:rPr>
          <w:rFonts w:ascii="Arial" w:hAnsi="Arial" w:cs="Arial"/>
        </w:rPr>
        <w:t xml:space="preserve">je to jen </w:t>
      </w:r>
      <w:r w:rsidR="00BD68A2">
        <w:rPr>
          <w:rFonts w:ascii="Arial" w:hAnsi="Arial" w:cs="Arial"/>
        </w:rPr>
        <w:t>21</w:t>
      </w:r>
      <w:r w:rsidRPr="00634CC8">
        <w:rPr>
          <w:rFonts w:ascii="Arial" w:hAnsi="Arial" w:cs="Arial"/>
        </w:rPr>
        <w:t xml:space="preserve"> procent, tedy </w:t>
      </w:r>
      <w:r w:rsidR="00BD68A2">
        <w:rPr>
          <w:rFonts w:ascii="Arial" w:hAnsi="Arial" w:cs="Arial"/>
        </w:rPr>
        <w:t>pětina.</w:t>
      </w:r>
      <w:r w:rsidRPr="00634CC8">
        <w:rPr>
          <w:rFonts w:ascii="Arial" w:hAnsi="Arial" w:cs="Arial"/>
        </w:rPr>
        <w:t xml:space="preserve"> </w:t>
      </w:r>
    </w:p>
    <w:p w:rsidR="006458D8" w:rsidRPr="006458D8" w:rsidRDefault="006458D8" w:rsidP="006458D8">
      <w:pPr>
        <w:jc w:val="both"/>
        <w:rPr>
          <w:rFonts w:ascii="Arial" w:hAnsi="Arial" w:cs="Arial"/>
        </w:rPr>
      </w:pPr>
      <w:r w:rsidRPr="006458D8">
        <w:rPr>
          <w:rFonts w:ascii="Arial" w:hAnsi="Arial" w:cs="Arial"/>
        </w:rPr>
        <w:t xml:space="preserve">Již </w:t>
      </w:r>
      <w:r>
        <w:rPr>
          <w:rFonts w:ascii="Arial" w:hAnsi="Arial" w:cs="Arial"/>
        </w:rPr>
        <w:t>třetím</w:t>
      </w:r>
      <w:r w:rsidRPr="006458D8">
        <w:rPr>
          <w:rFonts w:ascii="Arial" w:hAnsi="Arial" w:cs="Arial"/>
        </w:rPr>
        <w:t xml:space="preserve"> měsícem po sobě také Praha není nejrychleji se rozvíjejícím regionem v ČR v oblasti nové bytové výstavby. Předstihla ji totiž Plzeň, kde úřady za </w:t>
      </w:r>
      <w:r>
        <w:rPr>
          <w:rFonts w:ascii="Arial" w:hAnsi="Arial" w:cs="Arial"/>
        </w:rPr>
        <w:t>pololetí</w:t>
      </w:r>
      <w:r w:rsidRPr="006458D8">
        <w:rPr>
          <w:rFonts w:ascii="Arial" w:hAnsi="Arial" w:cs="Arial"/>
        </w:rPr>
        <w:t xml:space="preserve"> vydaly povolení pro </w:t>
      </w:r>
      <w:r w:rsidR="00BD68A2">
        <w:rPr>
          <w:rFonts w:ascii="Arial" w:hAnsi="Arial" w:cs="Arial"/>
        </w:rPr>
        <w:t xml:space="preserve">691 </w:t>
      </w:r>
      <w:r w:rsidRPr="006458D8">
        <w:rPr>
          <w:rFonts w:ascii="Arial" w:hAnsi="Arial" w:cs="Arial"/>
        </w:rPr>
        <w:t xml:space="preserve">bytů, tedy o </w:t>
      </w:r>
      <w:r w:rsidR="00BD68A2">
        <w:rPr>
          <w:rFonts w:ascii="Arial" w:hAnsi="Arial" w:cs="Arial"/>
        </w:rPr>
        <w:t>třetinu více</w:t>
      </w:r>
      <w:r w:rsidRPr="006458D8">
        <w:rPr>
          <w:rFonts w:ascii="Arial" w:hAnsi="Arial" w:cs="Arial"/>
        </w:rPr>
        <w:t xml:space="preserve"> než v Praze. Pražskému tempu zahajovaných bytů se také začíná blížit Středočeský kraj s</w:t>
      </w:r>
      <w:r w:rsidR="00BD68A2">
        <w:rPr>
          <w:rFonts w:ascii="Arial" w:hAnsi="Arial" w:cs="Arial"/>
        </w:rPr>
        <w:t> 457 zahájenými</w:t>
      </w:r>
      <w:r w:rsidRPr="006458D8">
        <w:rPr>
          <w:rFonts w:ascii="Arial" w:hAnsi="Arial" w:cs="Arial"/>
        </w:rPr>
        <w:t xml:space="preserve"> byty.</w:t>
      </w:r>
      <w:r w:rsidR="00BD68A2">
        <w:rPr>
          <w:rFonts w:ascii="Arial" w:hAnsi="Arial" w:cs="Arial"/>
        </w:rPr>
        <w:t xml:space="preserve"> Pokud půjde povolování nových bytů v Praze tímto tempem i nadále, </w:t>
      </w:r>
      <w:r w:rsidR="00D2668F">
        <w:rPr>
          <w:rFonts w:ascii="Arial" w:hAnsi="Arial" w:cs="Arial"/>
        </w:rPr>
        <w:t>za pár měsíců</w:t>
      </w:r>
      <w:r w:rsidR="00BD68A2">
        <w:rPr>
          <w:rFonts w:ascii="Arial" w:hAnsi="Arial" w:cs="Arial"/>
        </w:rPr>
        <w:t xml:space="preserve"> již Prahu předstihne i Středočeský kraj.</w:t>
      </w:r>
    </w:p>
    <w:p w:rsidR="0006253D" w:rsidRDefault="0006253D" w:rsidP="0006253D">
      <w:pPr>
        <w:jc w:val="both"/>
        <w:rPr>
          <w:rFonts w:ascii="Arial" w:hAnsi="Arial" w:cs="Arial"/>
        </w:rPr>
      </w:pPr>
      <w:r w:rsidRPr="00B953BC">
        <w:rPr>
          <w:rFonts w:ascii="Arial" w:hAnsi="Arial" w:cs="Arial"/>
        </w:rPr>
        <w:t xml:space="preserve">S takovými alarmujícími čísly již Praha musí začít něco dělat! Není přece možné, aby metropole přenechala vedoucí roli v rezidenčním rozvoji </w:t>
      </w:r>
      <w:r w:rsidR="00BD68A2">
        <w:rPr>
          <w:rFonts w:ascii="Arial" w:hAnsi="Arial" w:cs="Arial"/>
        </w:rPr>
        <w:t>jiným</w:t>
      </w:r>
      <w:r w:rsidRPr="00B953BC">
        <w:rPr>
          <w:rFonts w:ascii="Arial" w:hAnsi="Arial" w:cs="Arial"/>
        </w:rPr>
        <w:t xml:space="preserve"> region</w:t>
      </w:r>
      <w:r w:rsidR="00BD68A2">
        <w:rPr>
          <w:rFonts w:ascii="Arial" w:hAnsi="Arial" w:cs="Arial"/>
        </w:rPr>
        <w:t>ům</w:t>
      </w:r>
      <w:r w:rsidRPr="00B953BC">
        <w:rPr>
          <w:rFonts w:ascii="Arial" w:hAnsi="Arial" w:cs="Arial"/>
        </w:rPr>
        <w:t>. Praha, jako přirozené centrum země, k sobě logicky vede nové obyvatele: intelektuály z celého Česka i ze zahraničí, kteří Prahu obohacují, přicházejí sem uplatnit své schopnosti, a tím dále zvyšují potenciál Prahy, která právě i díky těmto nově příchozím motivovaným patří mezi desítku nejbohatších regionů v EU.</w:t>
      </w:r>
      <w:r w:rsidRPr="00CD63DB">
        <w:rPr>
          <w:rFonts w:ascii="Arial" w:hAnsi="Arial" w:cs="Arial"/>
        </w:rPr>
        <w:t xml:space="preserve"> </w:t>
      </w:r>
    </w:p>
    <w:p w:rsidR="0006253D" w:rsidRPr="00BD68A2" w:rsidRDefault="0006253D" w:rsidP="0006253D">
      <w:pPr>
        <w:jc w:val="both"/>
        <w:rPr>
          <w:rFonts w:ascii="Arial" w:hAnsi="Arial" w:cs="Arial"/>
          <w:b/>
        </w:rPr>
      </w:pPr>
      <w:r w:rsidRPr="00BD68A2">
        <w:rPr>
          <w:rFonts w:ascii="Arial" w:hAnsi="Arial" w:cs="Arial"/>
          <w:b/>
        </w:rPr>
        <w:t xml:space="preserve">Jen </w:t>
      </w:r>
      <w:r w:rsidR="00BD68A2" w:rsidRPr="00BD68A2">
        <w:rPr>
          <w:rFonts w:ascii="Arial" w:hAnsi="Arial" w:cs="Arial"/>
          <w:b/>
        </w:rPr>
        <w:t>28</w:t>
      </w:r>
      <w:r w:rsidRPr="00BD68A2">
        <w:rPr>
          <w:rFonts w:ascii="Arial" w:hAnsi="Arial" w:cs="Arial"/>
          <w:b/>
        </w:rPr>
        <w:t xml:space="preserve"> nov</w:t>
      </w:r>
      <w:r w:rsidR="00B953BC" w:rsidRPr="00BD68A2">
        <w:rPr>
          <w:rFonts w:ascii="Arial" w:hAnsi="Arial" w:cs="Arial"/>
          <w:b/>
        </w:rPr>
        <w:t>ě povolených</w:t>
      </w:r>
      <w:r w:rsidRPr="00BD68A2">
        <w:rPr>
          <w:rFonts w:ascii="Arial" w:hAnsi="Arial" w:cs="Arial"/>
          <w:b/>
        </w:rPr>
        <w:t xml:space="preserve"> byt</w:t>
      </w:r>
      <w:r w:rsidR="00B953BC" w:rsidRPr="00BD68A2">
        <w:rPr>
          <w:rFonts w:ascii="Arial" w:hAnsi="Arial" w:cs="Arial"/>
          <w:b/>
        </w:rPr>
        <w:t>ů za čtvrtletí pro celou Prahu</w:t>
      </w:r>
    </w:p>
    <w:p w:rsidR="0006253D" w:rsidRPr="00BD68A2" w:rsidRDefault="00B953BC" w:rsidP="0006253D">
      <w:pPr>
        <w:jc w:val="both"/>
        <w:rPr>
          <w:rFonts w:ascii="Arial" w:hAnsi="Arial" w:cs="Arial"/>
          <w:b/>
        </w:rPr>
      </w:pPr>
      <w:r w:rsidRPr="00BD68A2">
        <w:rPr>
          <w:rFonts w:ascii="Arial" w:hAnsi="Arial" w:cs="Arial"/>
          <w:b/>
        </w:rPr>
        <w:t>P</w:t>
      </w:r>
      <w:r w:rsidR="0006253D" w:rsidRPr="00BD68A2">
        <w:rPr>
          <w:rFonts w:ascii="Arial" w:hAnsi="Arial" w:cs="Arial"/>
          <w:b/>
        </w:rPr>
        <w:t xml:space="preserve">očty bytů, na které úřady v Praze vydaly povolení za poslední měsíce, jsou skutečně alarmující! </w:t>
      </w:r>
      <w:r w:rsidRPr="00BD68A2">
        <w:rPr>
          <w:rFonts w:ascii="Arial" w:hAnsi="Arial" w:cs="Arial"/>
          <w:b/>
        </w:rPr>
        <w:t xml:space="preserve">Za 2. čtvrtletí to bylo jen </w:t>
      </w:r>
      <w:r w:rsidR="00BD68A2" w:rsidRPr="00BD68A2">
        <w:rPr>
          <w:rFonts w:ascii="Arial" w:hAnsi="Arial" w:cs="Arial"/>
          <w:b/>
        </w:rPr>
        <w:t>28</w:t>
      </w:r>
      <w:r w:rsidRPr="00BD68A2">
        <w:rPr>
          <w:rFonts w:ascii="Arial" w:hAnsi="Arial" w:cs="Arial"/>
          <w:b/>
        </w:rPr>
        <w:t xml:space="preserve"> bytů pro celou Prahu. </w:t>
      </w:r>
      <w:r w:rsidR="0006253D" w:rsidRPr="00BD68A2">
        <w:rPr>
          <w:rFonts w:ascii="Arial" w:hAnsi="Arial" w:cs="Arial"/>
          <w:b/>
        </w:rPr>
        <w:t>V</w:t>
      </w:r>
      <w:r w:rsidR="00BD68A2" w:rsidRPr="00BD68A2">
        <w:rPr>
          <w:rFonts w:ascii="Arial" w:hAnsi="Arial" w:cs="Arial"/>
          <w:b/>
        </w:rPr>
        <w:t xml:space="preserve"> červnu </w:t>
      </w:r>
      <w:r w:rsidR="00BD68A2">
        <w:rPr>
          <w:rFonts w:ascii="Arial" w:hAnsi="Arial" w:cs="Arial"/>
          <w:b/>
        </w:rPr>
        <w:t>sedm</w:t>
      </w:r>
      <w:r w:rsidR="00BD68A2" w:rsidRPr="00BD68A2">
        <w:rPr>
          <w:rFonts w:ascii="Arial" w:hAnsi="Arial" w:cs="Arial"/>
          <w:b/>
        </w:rPr>
        <w:t xml:space="preserve"> bytů,</w:t>
      </w:r>
      <w:r w:rsidR="00D2668F">
        <w:rPr>
          <w:rFonts w:ascii="Arial" w:hAnsi="Arial" w:cs="Arial"/>
          <w:b/>
        </w:rPr>
        <w:t xml:space="preserve"> v</w:t>
      </w:r>
      <w:r w:rsidR="00BD68A2" w:rsidRPr="00BD68A2">
        <w:rPr>
          <w:rFonts w:ascii="Arial" w:hAnsi="Arial" w:cs="Arial"/>
          <w:b/>
        </w:rPr>
        <w:t xml:space="preserve"> </w:t>
      </w:r>
      <w:r w:rsidR="0006253D" w:rsidRPr="00BD68A2">
        <w:rPr>
          <w:rFonts w:ascii="Arial" w:hAnsi="Arial" w:cs="Arial"/>
          <w:b/>
        </w:rPr>
        <w:t>květnu 17</w:t>
      </w:r>
      <w:r w:rsidR="00BD68A2" w:rsidRPr="00BD68A2">
        <w:rPr>
          <w:rFonts w:ascii="Arial" w:hAnsi="Arial" w:cs="Arial"/>
          <w:b/>
        </w:rPr>
        <w:t xml:space="preserve"> a</w:t>
      </w:r>
      <w:r w:rsidR="0006253D" w:rsidRPr="00BD68A2">
        <w:rPr>
          <w:rFonts w:ascii="Arial" w:hAnsi="Arial" w:cs="Arial"/>
          <w:b/>
        </w:rPr>
        <w:t xml:space="preserve"> v dubnu dokonce jen čtyři byty na celou Prahu.</w:t>
      </w:r>
      <w:r w:rsidR="00014457">
        <w:rPr>
          <w:rFonts w:ascii="Arial" w:hAnsi="Arial" w:cs="Arial"/>
          <w:b/>
        </w:rPr>
        <w:t xml:space="preserve"> To je skutečně žalostná bilance pražských stavebních úřadů.</w:t>
      </w:r>
    </w:p>
    <w:p w:rsidR="0006253D" w:rsidRPr="00BD68A2" w:rsidRDefault="0006253D" w:rsidP="0006253D">
      <w:pPr>
        <w:jc w:val="both"/>
        <w:rPr>
          <w:rFonts w:ascii="Arial" w:hAnsi="Arial" w:cs="Arial"/>
        </w:rPr>
      </w:pPr>
      <w:r w:rsidRPr="00BD68A2">
        <w:rPr>
          <w:rFonts w:ascii="Arial" w:hAnsi="Arial" w:cs="Arial"/>
        </w:rPr>
        <w:t>Za úpadkem nové výstavby v Praze stojí bezesporu pomalé povolování projektů stavebními úřady. Od nákupu pozemku ke kolaudaci trvá příprava projektu bytového domu v průměru osm let.</w:t>
      </w:r>
      <w:r w:rsidR="00BD68A2">
        <w:rPr>
          <w:rFonts w:ascii="Arial" w:hAnsi="Arial" w:cs="Arial"/>
        </w:rPr>
        <w:t xml:space="preserve"> </w:t>
      </w:r>
      <w:r w:rsidR="00BD68A2" w:rsidRPr="00BD68A2">
        <w:rPr>
          <w:rFonts w:ascii="Arial" w:hAnsi="Arial" w:cs="Arial"/>
        </w:rPr>
        <w:t>V řadě případů ještě déle.</w:t>
      </w:r>
      <w:r w:rsidR="00BD68A2">
        <w:rPr>
          <w:rFonts w:ascii="Arial" w:hAnsi="Arial" w:cs="Arial"/>
        </w:rPr>
        <w:t xml:space="preserve"> Doba, kterou stráví developer přípravou projektů, je tak výrazně delší, než v západní Evropě.</w:t>
      </w:r>
      <w:r w:rsidRPr="00BD68A2">
        <w:rPr>
          <w:rFonts w:ascii="Arial" w:hAnsi="Arial" w:cs="Arial"/>
        </w:rPr>
        <w:t xml:space="preserve"> Některé městské části jsou po posledních volbách navíc „</w:t>
      </w:r>
      <w:proofErr w:type="spellStart"/>
      <w:r w:rsidRPr="00BD68A2">
        <w:rPr>
          <w:rFonts w:ascii="Arial" w:hAnsi="Arial" w:cs="Arial"/>
        </w:rPr>
        <w:t>protirozvojově</w:t>
      </w:r>
      <w:proofErr w:type="spellEnd"/>
      <w:r w:rsidRPr="00BD68A2">
        <w:rPr>
          <w:rFonts w:ascii="Arial" w:hAnsi="Arial" w:cs="Arial"/>
        </w:rPr>
        <w:t xml:space="preserve">“ zaměřené a povolování jakékoli nové výstavby je zde na bodu mrazu. </w:t>
      </w:r>
    </w:p>
    <w:p w:rsidR="0006253D" w:rsidRPr="00BD68A2" w:rsidRDefault="0006253D" w:rsidP="0006253D">
      <w:pPr>
        <w:spacing w:after="0"/>
        <w:jc w:val="both"/>
        <w:rPr>
          <w:rFonts w:ascii="Arial" w:hAnsi="Arial" w:cs="Arial"/>
        </w:rPr>
      </w:pPr>
      <w:r w:rsidRPr="00BD68A2">
        <w:rPr>
          <w:rFonts w:ascii="Arial" w:hAnsi="Arial" w:cs="Arial"/>
        </w:rPr>
        <w:t>Poptávka po novém bydlení je velmi vysoká několik posledních let. Loni rostl prodej o zhruba 15 procent a letos za celý rok očekáváme další růst minimálně o deset procent na 7200 bytů. Prodeje v prvních měsících roku ale nasvědčují tomu, že desetiprocentní očekávání může být až příliš konzervativní.</w:t>
      </w:r>
      <w:r w:rsidR="00BD68A2">
        <w:rPr>
          <w:rFonts w:ascii="Arial" w:hAnsi="Arial" w:cs="Arial"/>
        </w:rPr>
        <w:t xml:space="preserve"> Za první pololetí se v Praze prodalo 3350 bytů, j</w:t>
      </w:r>
      <w:r w:rsidRPr="00BD68A2">
        <w:rPr>
          <w:rFonts w:ascii="Arial" w:hAnsi="Arial" w:cs="Arial"/>
        </w:rPr>
        <w:t xml:space="preserve">en </w:t>
      </w:r>
      <w:r w:rsidR="00BD68A2">
        <w:rPr>
          <w:rFonts w:ascii="Arial" w:hAnsi="Arial" w:cs="Arial"/>
        </w:rPr>
        <w:t xml:space="preserve">samotný </w:t>
      </w:r>
      <w:proofErr w:type="spellStart"/>
      <w:r w:rsidRPr="00BD68A2">
        <w:rPr>
          <w:rFonts w:ascii="Arial" w:hAnsi="Arial" w:cs="Arial"/>
        </w:rPr>
        <w:t>Central</w:t>
      </w:r>
      <w:proofErr w:type="spellEnd"/>
      <w:r w:rsidRPr="00BD68A2">
        <w:rPr>
          <w:rFonts w:ascii="Arial" w:hAnsi="Arial" w:cs="Arial"/>
        </w:rPr>
        <w:t xml:space="preserve"> Group jako největší hráč na poli nové bytové výstavby zaznamenal za první pololetí meziroční růst prodeje o 44 procent</w:t>
      </w:r>
      <w:r w:rsidR="00BD68A2">
        <w:rPr>
          <w:rFonts w:ascii="Arial" w:hAnsi="Arial" w:cs="Arial"/>
        </w:rPr>
        <w:t xml:space="preserve"> a prodal 712 bytů, tedy více než pětinu všech v Praze prodaných bytů</w:t>
      </w:r>
      <w:r w:rsidRPr="00BD68A2">
        <w:rPr>
          <w:rFonts w:ascii="Arial" w:hAnsi="Arial" w:cs="Arial"/>
        </w:rPr>
        <w:t xml:space="preserve">. </w:t>
      </w:r>
      <w:bookmarkStart w:id="0" w:name="_GoBack"/>
      <w:bookmarkEnd w:id="0"/>
    </w:p>
    <w:p w:rsidR="0006253D" w:rsidRPr="00BD68A2" w:rsidRDefault="0006253D" w:rsidP="0006253D">
      <w:pPr>
        <w:spacing w:after="0"/>
        <w:jc w:val="both"/>
        <w:rPr>
          <w:rFonts w:ascii="Arial" w:hAnsi="Arial" w:cs="Arial"/>
        </w:rPr>
      </w:pPr>
    </w:p>
    <w:p w:rsidR="0006253D" w:rsidRPr="00BD68A2" w:rsidRDefault="0006253D" w:rsidP="0006253D">
      <w:pPr>
        <w:spacing w:after="0"/>
        <w:jc w:val="both"/>
        <w:rPr>
          <w:rFonts w:ascii="Arial" w:hAnsi="Arial" w:cs="Arial"/>
        </w:rPr>
      </w:pPr>
      <w:r w:rsidRPr="00BD68A2">
        <w:rPr>
          <w:rFonts w:ascii="Arial" w:hAnsi="Arial" w:cs="Arial"/>
        </w:rPr>
        <w:lastRenderedPageBreak/>
        <w:t xml:space="preserve">Při současné disproporci mezi rychlým prodejem bytů a pomalým nebo zcela zastaveným povolováním nových tak </w:t>
      </w:r>
      <w:r w:rsidR="00BA1CF4" w:rsidRPr="00BD68A2">
        <w:rPr>
          <w:rFonts w:ascii="Arial" w:hAnsi="Arial" w:cs="Arial"/>
        </w:rPr>
        <w:t>už se projevuje</w:t>
      </w:r>
      <w:r w:rsidRPr="00BD68A2">
        <w:rPr>
          <w:rFonts w:ascii="Arial" w:hAnsi="Arial" w:cs="Arial"/>
        </w:rPr>
        <w:t xml:space="preserve"> nedostatk</w:t>
      </w:r>
      <w:r w:rsidR="00BA1CF4" w:rsidRPr="00BD68A2">
        <w:rPr>
          <w:rFonts w:ascii="Arial" w:hAnsi="Arial" w:cs="Arial"/>
        </w:rPr>
        <w:t>em</w:t>
      </w:r>
      <w:r w:rsidRPr="00BD68A2">
        <w:rPr>
          <w:rFonts w:ascii="Arial" w:hAnsi="Arial" w:cs="Arial"/>
        </w:rPr>
        <w:t xml:space="preserve"> bytů na trhu a tím logicky r</w:t>
      </w:r>
      <w:r w:rsidR="00BA1CF4" w:rsidRPr="00BD68A2">
        <w:rPr>
          <w:rFonts w:ascii="Arial" w:hAnsi="Arial" w:cs="Arial"/>
        </w:rPr>
        <w:t>ostou</w:t>
      </w:r>
      <w:r w:rsidRPr="00BD68A2">
        <w:rPr>
          <w:rFonts w:ascii="Arial" w:hAnsi="Arial" w:cs="Arial"/>
        </w:rPr>
        <w:t xml:space="preserve"> jejich cen</w:t>
      </w:r>
      <w:r w:rsidR="00BA1CF4" w:rsidRPr="00BD68A2">
        <w:rPr>
          <w:rFonts w:ascii="Arial" w:hAnsi="Arial" w:cs="Arial"/>
        </w:rPr>
        <w:t>y</w:t>
      </w:r>
      <w:r w:rsidRPr="00BD68A2">
        <w:rPr>
          <w:rFonts w:ascii="Arial" w:hAnsi="Arial" w:cs="Arial"/>
        </w:rPr>
        <w:t>.</w:t>
      </w:r>
    </w:p>
    <w:p w:rsidR="005C3C55" w:rsidRPr="006458D8" w:rsidRDefault="005C3C55" w:rsidP="0006253D">
      <w:pPr>
        <w:spacing w:after="0"/>
        <w:jc w:val="both"/>
        <w:rPr>
          <w:rFonts w:ascii="Arial" w:hAnsi="Arial" w:cs="Arial"/>
          <w:highlight w:val="yellow"/>
        </w:rPr>
      </w:pPr>
    </w:p>
    <w:p w:rsidR="0006253D" w:rsidRPr="00FC3682" w:rsidRDefault="0006253D" w:rsidP="0006253D">
      <w:pPr>
        <w:spacing w:after="0"/>
        <w:jc w:val="both"/>
        <w:rPr>
          <w:rFonts w:ascii="Arial" w:hAnsi="Arial" w:cs="Arial"/>
          <w:b/>
        </w:rPr>
      </w:pPr>
      <w:r w:rsidRPr="00FC3682">
        <w:rPr>
          <w:rFonts w:ascii="Arial" w:hAnsi="Arial" w:cs="Arial"/>
          <w:b/>
        </w:rPr>
        <w:t>Pokles stavebnictví pokračuje</w:t>
      </w:r>
    </w:p>
    <w:p w:rsidR="0006253D" w:rsidRPr="00FC3682" w:rsidRDefault="0006253D" w:rsidP="0006253D">
      <w:pPr>
        <w:spacing w:after="0"/>
        <w:jc w:val="both"/>
        <w:rPr>
          <w:rFonts w:ascii="Arial" w:hAnsi="Arial" w:cs="Arial"/>
          <w:b/>
        </w:rPr>
      </w:pPr>
    </w:p>
    <w:p w:rsidR="0006253D" w:rsidRDefault="0006253D" w:rsidP="0006253D">
      <w:pPr>
        <w:spacing w:after="0"/>
        <w:jc w:val="both"/>
        <w:rPr>
          <w:rFonts w:ascii="Arial" w:hAnsi="Arial" w:cs="Arial"/>
        </w:rPr>
      </w:pPr>
      <w:r w:rsidRPr="00FC3682">
        <w:rPr>
          <w:rFonts w:ascii="Arial" w:hAnsi="Arial" w:cs="Arial"/>
        </w:rPr>
        <w:t xml:space="preserve">Klesá také celé odvětví stavebnictví. V </w:t>
      </w:r>
      <w:r w:rsidR="00FC3682">
        <w:rPr>
          <w:rFonts w:ascii="Arial" w:hAnsi="Arial" w:cs="Arial"/>
        </w:rPr>
        <w:t>červnu</w:t>
      </w:r>
      <w:r w:rsidRPr="00FC3682">
        <w:rPr>
          <w:rFonts w:ascii="Arial" w:hAnsi="Arial" w:cs="Arial"/>
        </w:rPr>
        <w:t xml:space="preserve"> reálně o </w:t>
      </w:r>
      <w:r w:rsidR="00FC3682">
        <w:rPr>
          <w:rFonts w:ascii="Arial" w:hAnsi="Arial" w:cs="Arial"/>
        </w:rPr>
        <w:t>12,7</w:t>
      </w:r>
      <w:r w:rsidRPr="00FC3682">
        <w:rPr>
          <w:rFonts w:ascii="Arial" w:hAnsi="Arial" w:cs="Arial"/>
        </w:rPr>
        <w:t xml:space="preserve"> procenta. Po</w:t>
      </w:r>
      <w:r w:rsidR="00FC3682">
        <w:rPr>
          <w:rFonts w:ascii="Arial" w:hAnsi="Arial" w:cs="Arial"/>
        </w:rPr>
        <w:t xml:space="preserve"> měsíčním zpomalení se tak obor vrací k razantnímu poklesu z </w:t>
      </w:r>
      <w:r w:rsidRPr="00FC3682">
        <w:rPr>
          <w:rFonts w:ascii="Arial" w:hAnsi="Arial" w:cs="Arial"/>
        </w:rPr>
        <w:t>předchozích měsíc</w:t>
      </w:r>
      <w:r w:rsidR="00FC3682">
        <w:rPr>
          <w:rFonts w:ascii="Arial" w:hAnsi="Arial" w:cs="Arial"/>
        </w:rPr>
        <w:t>ů</w:t>
      </w:r>
      <w:r w:rsidRPr="00FC3682">
        <w:rPr>
          <w:rFonts w:ascii="Arial" w:hAnsi="Arial" w:cs="Arial"/>
        </w:rPr>
        <w:t xml:space="preserve">. Váznou zakázky veřejného sektoru a nepomáhají ani soukromí investoři, kterým v intenzivnější aktivitě brání </w:t>
      </w:r>
      <w:proofErr w:type="spellStart"/>
      <w:r w:rsidRPr="00FC3682">
        <w:rPr>
          <w:rFonts w:ascii="Arial" w:hAnsi="Arial" w:cs="Arial"/>
        </w:rPr>
        <w:t>protirozvojov</w:t>
      </w:r>
      <w:r w:rsidR="00BA1CF4" w:rsidRPr="00FC3682">
        <w:rPr>
          <w:rFonts w:ascii="Arial" w:hAnsi="Arial" w:cs="Arial"/>
        </w:rPr>
        <w:t>é</w:t>
      </w:r>
      <w:proofErr w:type="spellEnd"/>
      <w:r w:rsidR="00BA1CF4" w:rsidRPr="00FC3682">
        <w:rPr>
          <w:rFonts w:ascii="Arial" w:hAnsi="Arial" w:cs="Arial"/>
        </w:rPr>
        <w:t xml:space="preserve"> zaměření řady radnic</w:t>
      </w:r>
      <w:r w:rsidRPr="00FC3682">
        <w:rPr>
          <w:rFonts w:ascii="Arial" w:hAnsi="Arial" w:cs="Arial"/>
        </w:rPr>
        <w:t xml:space="preserve"> v Praze i některých dalších městech. To se projevuje stagnací vydávaných stavebních povolení.</w:t>
      </w:r>
    </w:p>
    <w:p w:rsidR="0006253D" w:rsidRDefault="0006253D" w:rsidP="0006253D">
      <w:pPr>
        <w:spacing w:after="0"/>
        <w:jc w:val="both"/>
        <w:rPr>
          <w:rFonts w:ascii="Arial" w:hAnsi="Arial" w:cs="Arial"/>
        </w:rPr>
      </w:pPr>
    </w:p>
    <w:p w:rsidR="0006253D" w:rsidRDefault="0006253D" w:rsidP="0006253D">
      <w:pPr>
        <w:spacing w:after="0"/>
        <w:jc w:val="both"/>
        <w:rPr>
          <w:rFonts w:ascii="Arial" w:hAnsi="Arial" w:cs="Arial"/>
        </w:rPr>
      </w:pPr>
    </w:p>
    <w:p w:rsidR="0006253D" w:rsidRDefault="0006253D" w:rsidP="0006253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Dušan Kunovský</w:t>
      </w:r>
    </w:p>
    <w:p w:rsidR="0006253D" w:rsidRDefault="0006253D" w:rsidP="0006253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předseda představenstva</w:t>
      </w:r>
    </w:p>
    <w:p w:rsidR="0006253D" w:rsidRDefault="0006253D" w:rsidP="0006253D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a.s.</w:t>
      </w:r>
    </w:p>
    <w:p w:rsidR="0006253D" w:rsidRDefault="0006253D" w:rsidP="0006253D">
      <w:pPr>
        <w:spacing w:after="0"/>
        <w:jc w:val="both"/>
        <w:rPr>
          <w:rFonts w:ascii="Arial" w:hAnsi="Arial" w:cs="Arial"/>
        </w:rPr>
      </w:pPr>
    </w:p>
    <w:p w:rsidR="0006253D" w:rsidRDefault="0006253D" w:rsidP="0006253D">
      <w:pPr>
        <w:spacing w:after="0"/>
        <w:jc w:val="both"/>
        <w:rPr>
          <w:rFonts w:ascii="Arial" w:hAnsi="Arial" w:cs="Arial"/>
        </w:rPr>
      </w:pPr>
    </w:p>
    <w:p w:rsidR="00145D58" w:rsidRDefault="00145D58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BD68A2" w:rsidRDefault="00BD68A2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53D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5544EE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8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8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4457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6253D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3C55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D68A2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8F58-F31C-42D7-A68E-1E5A1776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903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7</cp:revision>
  <cp:lastPrinted>2016-08-08T07:03:00Z</cp:lastPrinted>
  <dcterms:created xsi:type="dcterms:W3CDTF">2016-08-03T09:54:00Z</dcterms:created>
  <dcterms:modified xsi:type="dcterms:W3CDTF">2016-08-08T07:28:00Z</dcterms:modified>
</cp:coreProperties>
</file>