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EB06" w14:textId="77777777"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FFDF604" wp14:editId="7CD3E838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880946B" wp14:editId="27CAB240">
                <wp:simplePos x="0" y="0"/>
                <wp:positionH relativeFrom="column">
                  <wp:posOffset>-5715</wp:posOffset>
                </wp:positionH>
                <wp:positionV relativeFrom="paragraph">
                  <wp:posOffset>407035</wp:posOffset>
                </wp:positionV>
                <wp:extent cx="3848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3A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32.05pt;width:30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    </w:pict>
          </mc:Fallback>
        </mc:AlternateConten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14:paraId="51B84395" w14:textId="19056D39" w:rsidR="00036B56" w:rsidRPr="00626B3F" w:rsidRDefault="00C350E2" w:rsidP="00036B56">
      <w:pPr>
        <w:pStyle w:val="nadpis"/>
        <w:spacing w:line="276" w:lineRule="auto"/>
        <w:rPr>
          <w:color w:val="17365D"/>
          <w:sz w:val="36"/>
          <w:szCs w:val="36"/>
        </w:rPr>
      </w:pPr>
      <w:proofErr w:type="gramStart"/>
      <w:r>
        <w:rPr>
          <w:color w:val="17365D"/>
          <w:sz w:val="36"/>
          <w:szCs w:val="36"/>
        </w:rPr>
        <w:t>8.9</w:t>
      </w:r>
      <w:r w:rsidR="00036B56">
        <w:rPr>
          <w:color w:val="17365D"/>
          <w:sz w:val="36"/>
          <w:szCs w:val="36"/>
        </w:rPr>
        <w:t>.2014</w:t>
      </w:r>
      <w:proofErr w:type="gramEnd"/>
      <w:r w:rsidR="00036B56">
        <w:rPr>
          <w:color w:val="17365D"/>
          <w:sz w:val="36"/>
          <w:szCs w:val="36"/>
        </w:rPr>
        <w:t xml:space="preserve"> </w:t>
      </w:r>
    </w:p>
    <w:p w14:paraId="25059561" w14:textId="77777777" w:rsidR="003E4FDA" w:rsidRDefault="003E4FDA" w:rsidP="003E4FDA">
      <w:pPr>
        <w:spacing w:after="0"/>
        <w:rPr>
          <w:rFonts w:ascii="Arial Black" w:hAnsi="Arial Black" w:cs="Arial"/>
          <w:b/>
          <w:sz w:val="36"/>
          <w:szCs w:val="36"/>
        </w:rPr>
      </w:pPr>
    </w:p>
    <w:p w14:paraId="62407371" w14:textId="77777777"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5D99A1A5" w14:textId="77777777" w:rsidR="003E4FDA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14:paraId="69DB30D9" w14:textId="1DA565D2" w:rsidR="00966597" w:rsidRPr="003E4FDA" w:rsidRDefault="002E03C6" w:rsidP="004B31B4">
      <w:pPr>
        <w:spacing w:after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Český legislativní paradox: Zasadí stát nevědomky další ránu českému stavebnictví?</w:t>
      </w:r>
    </w:p>
    <w:p w14:paraId="18EDE2FB" w14:textId="77777777" w:rsidR="003E4FDA" w:rsidRPr="00D54E7C" w:rsidRDefault="003E4FDA" w:rsidP="003E4FDA">
      <w:pPr>
        <w:spacing w:after="0"/>
        <w:rPr>
          <w:rFonts w:ascii="Arial Black" w:hAnsi="Arial Black" w:cs="Arial"/>
          <w:b/>
          <w:sz w:val="18"/>
          <w:szCs w:val="18"/>
        </w:rPr>
      </w:pPr>
    </w:p>
    <w:p w14:paraId="79296B1B" w14:textId="77777777" w:rsidR="003E4FDA" w:rsidRDefault="003E4FDA" w:rsidP="003E4FDA">
      <w:pPr>
        <w:spacing w:after="0"/>
        <w:jc w:val="both"/>
        <w:rPr>
          <w:rFonts w:ascii="Arial" w:hAnsi="Arial" w:cs="Arial"/>
          <w:i/>
        </w:rPr>
      </w:pPr>
    </w:p>
    <w:p w14:paraId="3BDAB678" w14:textId="4618EBB6" w:rsidR="003F6D9A" w:rsidRDefault="002E03C6" w:rsidP="00C350E2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08.09.</w:t>
      </w:r>
      <w:r w:rsidR="008E7BEB" w:rsidRPr="0072485F">
        <w:rPr>
          <w:rFonts w:ascii="Arial" w:hAnsi="Arial" w:cs="Arial"/>
          <w:i/>
          <w:sz w:val="24"/>
          <w:szCs w:val="24"/>
          <w:lang w:eastAsia="cs-CZ"/>
        </w:rPr>
        <w:t>2014</w:t>
      </w:r>
      <w:proofErr w:type="gramEnd"/>
      <w:r w:rsidR="008E7BEB" w:rsidRPr="0072485F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8E7BEB" w:rsidRPr="0072485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F6D9A">
        <w:rPr>
          <w:rFonts w:ascii="Arial" w:hAnsi="Arial" w:cs="Arial"/>
          <w:b/>
          <w:sz w:val="24"/>
          <w:szCs w:val="24"/>
          <w:lang w:eastAsia="cs-CZ"/>
        </w:rPr>
        <w:t xml:space="preserve">Trochu mimo zájem médií a bez adekvátní diskuse s experty připravuje Ministerstvo životního prostředí ČR </w:t>
      </w:r>
      <w:r w:rsidR="00911318">
        <w:rPr>
          <w:rFonts w:ascii="Arial" w:hAnsi="Arial" w:cs="Arial"/>
          <w:b/>
          <w:sz w:val="24"/>
          <w:szCs w:val="24"/>
          <w:lang w:eastAsia="cs-CZ"/>
        </w:rPr>
        <w:t xml:space="preserve">ke schválení </w:t>
      </w:r>
      <w:r w:rsidRPr="003F6D9A">
        <w:rPr>
          <w:rFonts w:ascii="Arial" w:hAnsi="Arial" w:cs="Arial"/>
          <w:b/>
          <w:sz w:val="24"/>
          <w:szCs w:val="24"/>
          <w:lang w:eastAsia="cs-CZ"/>
        </w:rPr>
        <w:t>novelu zákona č. 100/2001 Sb.,</w:t>
      </w:r>
      <w:r w:rsidR="003F6D9A" w:rsidRPr="003F6D9A">
        <w:rPr>
          <w:rFonts w:ascii="Arial" w:hAnsi="Arial" w:cs="Arial"/>
          <w:b/>
          <w:sz w:val="24"/>
          <w:szCs w:val="24"/>
          <w:lang w:eastAsia="cs-CZ"/>
        </w:rPr>
        <w:t xml:space="preserve"> o posuzování vlivu záměrů na životní prostředí (znám</w:t>
      </w:r>
      <w:r w:rsidR="00911318">
        <w:rPr>
          <w:rFonts w:ascii="Arial" w:hAnsi="Arial" w:cs="Arial"/>
          <w:b/>
          <w:sz w:val="24"/>
          <w:szCs w:val="24"/>
          <w:lang w:eastAsia="cs-CZ"/>
        </w:rPr>
        <w:t>ého</w:t>
      </w:r>
      <w:r w:rsidR="003F6D9A" w:rsidRPr="003F6D9A">
        <w:rPr>
          <w:rFonts w:ascii="Arial" w:hAnsi="Arial" w:cs="Arial"/>
          <w:b/>
          <w:sz w:val="24"/>
          <w:szCs w:val="24"/>
          <w:lang w:eastAsia="cs-CZ"/>
        </w:rPr>
        <w:t xml:space="preserve"> spíše pod </w:t>
      </w:r>
      <w:r w:rsidR="009033B7">
        <w:rPr>
          <w:rFonts w:ascii="Arial" w:hAnsi="Arial" w:cs="Arial"/>
          <w:b/>
          <w:sz w:val="24"/>
          <w:szCs w:val="24"/>
          <w:lang w:eastAsia="cs-CZ"/>
        </w:rPr>
        <w:t>označením</w:t>
      </w:r>
      <w:r w:rsidR="003F6D9A" w:rsidRPr="003F6D9A">
        <w:rPr>
          <w:rFonts w:ascii="Arial" w:hAnsi="Arial" w:cs="Arial"/>
          <w:b/>
          <w:sz w:val="24"/>
          <w:szCs w:val="24"/>
          <w:lang w:eastAsia="cs-CZ"/>
        </w:rPr>
        <w:t xml:space="preserve"> „</w:t>
      </w:r>
      <w:r w:rsidR="009033B7">
        <w:rPr>
          <w:rFonts w:ascii="Arial" w:hAnsi="Arial" w:cs="Arial"/>
          <w:b/>
          <w:sz w:val="24"/>
          <w:szCs w:val="24"/>
          <w:lang w:eastAsia="cs-CZ"/>
        </w:rPr>
        <w:t>z</w:t>
      </w:r>
      <w:r w:rsidR="003F6D9A" w:rsidRPr="003F6D9A">
        <w:rPr>
          <w:rFonts w:ascii="Arial" w:hAnsi="Arial" w:cs="Arial"/>
          <w:b/>
          <w:sz w:val="24"/>
          <w:szCs w:val="24"/>
          <w:lang w:eastAsia="cs-CZ"/>
        </w:rPr>
        <w:t>ákon o EIA“).</w:t>
      </w:r>
      <w:r w:rsidR="003F6D9A">
        <w:rPr>
          <w:rFonts w:ascii="Arial" w:hAnsi="Arial" w:cs="Arial"/>
          <w:b/>
          <w:sz w:val="24"/>
          <w:szCs w:val="24"/>
          <w:lang w:eastAsia="cs-CZ"/>
        </w:rPr>
        <w:t xml:space="preserve"> Vstoupí-li však od 1.</w:t>
      </w:r>
      <w:r w:rsidR="00F218BB">
        <w:rPr>
          <w:rFonts w:ascii="Arial" w:hAnsi="Arial" w:cs="Arial"/>
          <w:b/>
          <w:sz w:val="24"/>
          <w:szCs w:val="24"/>
          <w:lang w:eastAsia="cs-CZ"/>
        </w:rPr>
        <w:t xml:space="preserve"> ledna </w:t>
      </w:r>
      <w:r w:rsidR="003F6D9A">
        <w:rPr>
          <w:rFonts w:ascii="Arial" w:hAnsi="Arial" w:cs="Arial"/>
          <w:b/>
          <w:sz w:val="24"/>
          <w:szCs w:val="24"/>
          <w:lang w:eastAsia="cs-CZ"/>
        </w:rPr>
        <w:t>2015 tato novela v aktuálním znění v platnost, bude to mít pro celé české stavebnictví nedozírné následky.</w:t>
      </w:r>
    </w:p>
    <w:p w14:paraId="184BE326" w14:textId="77777777" w:rsidR="003064C1" w:rsidRDefault="003064C1" w:rsidP="00C67736">
      <w:pPr>
        <w:contextualSpacing/>
        <w:jc w:val="both"/>
        <w:rPr>
          <w:rFonts w:ascii="Arial" w:hAnsi="Arial" w:cs="Arial"/>
          <w:b/>
          <w:color w:val="FF0000"/>
          <w:lang w:eastAsia="cs-CZ"/>
        </w:rPr>
      </w:pPr>
    </w:p>
    <w:p w14:paraId="473AD76B" w14:textId="7DF324F2" w:rsidR="0080509D" w:rsidRPr="0080509D" w:rsidRDefault="0080509D" w:rsidP="00C67736">
      <w:pPr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80509D">
        <w:rPr>
          <w:rFonts w:ascii="Arial" w:hAnsi="Arial" w:cs="Arial"/>
          <w:color w:val="000000" w:themeColor="text1"/>
          <w:lang w:eastAsia="cs-CZ"/>
        </w:rPr>
        <w:t xml:space="preserve">Výsledkem </w:t>
      </w:r>
      <w:r>
        <w:rPr>
          <w:rFonts w:ascii="Arial" w:hAnsi="Arial" w:cs="Arial"/>
          <w:color w:val="000000" w:themeColor="text1"/>
          <w:lang w:eastAsia="cs-CZ"/>
        </w:rPr>
        <w:t xml:space="preserve">může být okamžité zastavení přípravy všech investičních záměrů, veřejnými komunikacemi a školami počínaje a soukromými stavbami konče. Dojde také k výraznému prodloužení schvalovacích procesů a prodražení staveb, zhoršení dostupnosti bydlení a k růstu nezaměstnanosti ve stavebnictví a </w:t>
      </w:r>
      <w:r w:rsidR="009033B7">
        <w:rPr>
          <w:rFonts w:ascii="Arial" w:hAnsi="Arial" w:cs="Arial"/>
          <w:color w:val="000000" w:themeColor="text1"/>
          <w:lang w:eastAsia="cs-CZ"/>
        </w:rPr>
        <w:t>souvisejících oborech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</w:p>
    <w:p w14:paraId="3766F2B2" w14:textId="77777777" w:rsidR="0080509D" w:rsidRPr="005E03CB" w:rsidRDefault="0080509D" w:rsidP="00C67736">
      <w:pPr>
        <w:contextualSpacing/>
        <w:jc w:val="both"/>
        <w:rPr>
          <w:rFonts w:ascii="Arial" w:hAnsi="Arial" w:cs="Arial"/>
          <w:b/>
          <w:color w:val="FF0000"/>
          <w:lang w:eastAsia="cs-CZ"/>
        </w:rPr>
      </w:pPr>
    </w:p>
    <w:p w14:paraId="445D3985" w14:textId="52F47F38" w:rsidR="00C67736" w:rsidRPr="005E03CB" w:rsidRDefault="0080509D" w:rsidP="00C67736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Ostrá munice pro kverulanty</w:t>
      </w:r>
    </w:p>
    <w:p w14:paraId="24DA94BA" w14:textId="77777777" w:rsidR="005E03CB" w:rsidRPr="005E03CB" w:rsidRDefault="005E03CB" w:rsidP="00C67736">
      <w:pPr>
        <w:contextualSpacing/>
        <w:jc w:val="both"/>
        <w:rPr>
          <w:rFonts w:ascii="Arial" w:hAnsi="Arial" w:cs="Arial"/>
          <w:color w:val="FF0000"/>
          <w:sz w:val="8"/>
          <w:szCs w:val="8"/>
          <w:lang w:eastAsia="cs-CZ"/>
        </w:rPr>
      </w:pPr>
    </w:p>
    <w:p w14:paraId="39E1F4A3" w14:textId="23545F22" w:rsidR="005E03CB" w:rsidRDefault="005E03CB" w:rsidP="00C67736">
      <w:pPr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5E03CB">
        <w:rPr>
          <w:rFonts w:ascii="Arial" w:hAnsi="Arial" w:cs="Arial"/>
          <w:color w:val="000000" w:themeColor="text1"/>
          <w:lang w:eastAsia="cs-CZ"/>
        </w:rPr>
        <w:t xml:space="preserve">Praktické dopady </w:t>
      </w:r>
      <w:r w:rsidR="0080509D">
        <w:rPr>
          <w:rFonts w:ascii="Arial" w:hAnsi="Arial" w:cs="Arial"/>
          <w:color w:val="000000" w:themeColor="text1"/>
          <w:lang w:eastAsia="cs-CZ"/>
        </w:rPr>
        <w:t>novely zákona o EIA na české stavebnictví byl</w:t>
      </w:r>
      <w:r w:rsidR="00AC063D">
        <w:rPr>
          <w:rFonts w:ascii="Arial" w:hAnsi="Arial" w:cs="Arial"/>
          <w:color w:val="000000" w:themeColor="text1"/>
          <w:lang w:eastAsia="cs-CZ"/>
        </w:rPr>
        <w:t>y</w:t>
      </w:r>
      <w:r w:rsidR="009033B7">
        <w:rPr>
          <w:rFonts w:ascii="Arial" w:hAnsi="Arial" w:cs="Arial"/>
          <w:color w:val="000000" w:themeColor="text1"/>
          <w:lang w:eastAsia="cs-CZ"/>
        </w:rPr>
        <w:t xml:space="preserve"> přehledně</w:t>
      </w:r>
      <w:r w:rsidR="0080509D">
        <w:rPr>
          <w:rFonts w:ascii="Arial" w:hAnsi="Arial" w:cs="Arial"/>
          <w:color w:val="000000" w:themeColor="text1"/>
          <w:lang w:eastAsia="cs-CZ"/>
        </w:rPr>
        <w:t xml:space="preserve"> shrnut</w:t>
      </w:r>
      <w:r w:rsidR="00AC063D">
        <w:rPr>
          <w:rFonts w:ascii="Arial" w:hAnsi="Arial" w:cs="Arial"/>
          <w:color w:val="000000" w:themeColor="text1"/>
          <w:lang w:eastAsia="cs-CZ"/>
        </w:rPr>
        <w:t>y</w:t>
      </w:r>
      <w:r w:rsidR="0080509D">
        <w:rPr>
          <w:rFonts w:ascii="Arial" w:hAnsi="Arial" w:cs="Arial"/>
          <w:color w:val="000000" w:themeColor="text1"/>
          <w:lang w:eastAsia="cs-CZ"/>
        </w:rPr>
        <w:t xml:space="preserve"> </w:t>
      </w:r>
      <w:r w:rsidR="009033B7">
        <w:rPr>
          <w:rFonts w:ascii="Arial" w:hAnsi="Arial" w:cs="Arial"/>
          <w:color w:val="000000" w:themeColor="text1"/>
          <w:lang w:eastAsia="cs-CZ"/>
        </w:rPr>
        <w:t>již v srpnové</w:t>
      </w:r>
      <w:r w:rsidR="0080509D">
        <w:rPr>
          <w:rFonts w:ascii="Arial" w:hAnsi="Arial" w:cs="Arial"/>
          <w:color w:val="000000" w:themeColor="text1"/>
          <w:lang w:eastAsia="cs-CZ"/>
        </w:rPr>
        <w:t xml:space="preserve"> tiskové zprávě Svazu podnikatelů ve stavebnictví (ke stažení </w:t>
      </w:r>
      <w:hyperlink r:id="rId7" w:history="1">
        <w:r w:rsidR="0080509D" w:rsidRPr="0080509D">
          <w:rPr>
            <w:rStyle w:val="Hypertextovodkaz"/>
            <w:rFonts w:ascii="Arial" w:hAnsi="Arial" w:cs="Arial"/>
            <w:lang w:eastAsia="cs-CZ"/>
          </w:rPr>
          <w:t>ZDE</w:t>
        </w:r>
      </w:hyperlink>
      <w:r w:rsidR="0080509D">
        <w:rPr>
          <w:rFonts w:ascii="Arial" w:hAnsi="Arial" w:cs="Arial"/>
          <w:color w:val="000000" w:themeColor="text1"/>
          <w:lang w:eastAsia="cs-CZ"/>
        </w:rPr>
        <w:t xml:space="preserve">). </w:t>
      </w:r>
      <w:r w:rsidR="009033B7">
        <w:rPr>
          <w:rFonts w:ascii="Arial" w:hAnsi="Arial" w:cs="Arial"/>
          <w:color w:val="000000" w:themeColor="text1"/>
          <w:lang w:eastAsia="cs-CZ"/>
        </w:rPr>
        <w:t xml:space="preserve">Níže proto uvádíme jen </w:t>
      </w:r>
      <w:r w:rsidR="0080509D">
        <w:rPr>
          <w:rFonts w:ascii="Arial" w:hAnsi="Arial" w:cs="Arial"/>
          <w:color w:val="000000" w:themeColor="text1"/>
          <w:lang w:eastAsia="cs-CZ"/>
        </w:rPr>
        <w:t>ty nej</w:t>
      </w:r>
      <w:r w:rsidR="009033B7">
        <w:rPr>
          <w:rFonts w:ascii="Arial" w:hAnsi="Arial" w:cs="Arial"/>
          <w:color w:val="000000" w:themeColor="text1"/>
          <w:lang w:eastAsia="cs-CZ"/>
        </w:rPr>
        <w:t>více sporné body uvaž</w:t>
      </w:r>
      <w:bookmarkStart w:id="0" w:name="_GoBack"/>
      <w:bookmarkEnd w:id="0"/>
      <w:r w:rsidR="009033B7">
        <w:rPr>
          <w:rFonts w:ascii="Arial" w:hAnsi="Arial" w:cs="Arial"/>
          <w:color w:val="000000" w:themeColor="text1"/>
          <w:lang w:eastAsia="cs-CZ"/>
        </w:rPr>
        <w:t>ované nové právní úpravy.</w:t>
      </w:r>
    </w:p>
    <w:p w14:paraId="3D0AEE02" w14:textId="77777777" w:rsidR="0080509D" w:rsidRDefault="0080509D" w:rsidP="00C67736">
      <w:pPr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14:paraId="697529C2" w14:textId="7C4CFDA4" w:rsidR="00A638F7" w:rsidRPr="00A638F7" w:rsidRDefault="009033B7" w:rsidP="00C67736">
      <w:pPr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Aktuální znění novely zákona č. 100/2001 Sb.</w:t>
      </w:r>
    </w:p>
    <w:p w14:paraId="63B7EA5E" w14:textId="7DC5514C" w:rsidR="00A638F7" w:rsidRPr="00A638F7" w:rsidRDefault="00A638F7" w:rsidP="00A638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eastAsia="cs-CZ"/>
        </w:rPr>
      </w:pPr>
      <w:r w:rsidRPr="00A638F7">
        <w:rPr>
          <w:rFonts w:ascii="Arial" w:hAnsi="Arial" w:cs="Arial"/>
          <w:color w:val="000000" w:themeColor="text1"/>
          <w:lang w:eastAsia="cs-CZ"/>
        </w:rPr>
        <w:t xml:space="preserve">vylučuje možnost spojení řízení o posuzování vlivu </w:t>
      </w:r>
      <w:r>
        <w:rPr>
          <w:rFonts w:ascii="Arial" w:hAnsi="Arial" w:cs="Arial"/>
          <w:color w:val="000000" w:themeColor="text1"/>
          <w:lang w:eastAsia="cs-CZ"/>
        </w:rPr>
        <w:t xml:space="preserve">záměrů na životní prostředí </w:t>
      </w:r>
      <w:r w:rsidRPr="00A638F7">
        <w:rPr>
          <w:rFonts w:ascii="Arial" w:hAnsi="Arial" w:cs="Arial"/>
          <w:color w:val="000000" w:themeColor="text1"/>
          <w:lang w:eastAsia="cs-CZ"/>
        </w:rPr>
        <w:t>se stavebním řízením</w:t>
      </w:r>
      <w:r>
        <w:rPr>
          <w:rFonts w:ascii="Arial" w:hAnsi="Arial" w:cs="Arial"/>
          <w:color w:val="000000" w:themeColor="text1"/>
          <w:lang w:eastAsia="cs-CZ"/>
        </w:rPr>
        <w:t>, což je v přímém rozporu se snahou ministerstva pro místní rozvoj</w:t>
      </w:r>
      <w:r w:rsidR="009033B7">
        <w:rPr>
          <w:rFonts w:ascii="Arial" w:hAnsi="Arial" w:cs="Arial"/>
          <w:color w:val="000000" w:themeColor="text1"/>
          <w:lang w:eastAsia="cs-CZ"/>
        </w:rPr>
        <w:t>,</w:t>
      </w:r>
    </w:p>
    <w:p w14:paraId="21A714AE" w14:textId="0A31AF30" w:rsidR="00A638F7" w:rsidRPr="00A638F7" w:rsidRDefault="00A638F7" w:rsidP="00A638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zavádí, že kritéria zkoumaná v procesu EIA mohou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>být</w:t>
      </w:r>
      <w:r w:rsidR="009033B7">
        <w:rPr>
          <w:rFonts w:ascii="Arial" w:hAnsi="Arial" w:cs="Arial"/>
          <w:color w:val="000000" w:themeColor="text1"/>
          <w:lang w:eastAsia="cs-CZ"/>
        </w:rPr>
        <w:t xml:space="preserve"> nově</w:t>
      </w:r>
      <w:r>
        <w:rPr>
          <w:rFonts w:ascii="Arial" w:hAnsi="Arial" w:cs="Arial"/>
          <w:color w:val="000000" w:themeColor="text1"/>
          <w:lang w:eastAsia="cs-CZ"/>
        </w:rPr>
        <w:t xml:space="preserve"> zkoumána i v dalších fázích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 povolovacího procesu, tedy </w:t>
      </w:r>
      <w:r w:rsidR="009033B7">
        <w:rPr>
          <w:rFonts w:ascii="Arial" w:hAnsi="Arial" w:cs="Arial"/>
          <w:color w:val="000000" w:themeColor="text1"/>
          <w:lang w:eastAsia="cs-CZ"/>
        </w:rPr>
        <w:t>opětovně</w:t>
      </w:r>
      <w:r>
        <w:rPr>
          <w:rFonts w:ascii="Arial" w:hAnsi="Arial" w:cs="Arial"/>
          <w:color w:val="000000" w:themeColor="text1"/>
          <w:lang w:eastAsia="cs-CZ"/>
        </w:rPr>
        <w:t xml:space="preserve"> i v územním a stavebním řízení</w:t>
      </w:r>
      <w:r w:rsidR="009033B7">
        <w:rPr>
          <w:rFonts w:ascii="Arial" w:hAnsi="Arial" w:cs="Arial"/>
          <w:color w:val="000000" w:themeColor="text1"/>
          <w:lang w:eastAsia="cs-CZ"/>
        </w:rPr>
        <w:t>,</w:t>
      </w:r>
    </w:p>
    <w:p w14:paraId="21D12CB5" w14:textId="6E9E7FDB" w:rsidR="00A638F7" w:rsidRPr="00A638F7" w:rsidRDefault="00A638F7" w:rsidP="00A638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umožňuje, že proti záměrům 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lze opakovaně podávat tytéž námitky, </w:t>
      </w:r>
      <w:r>
        <w:rPr>
          <w:rFonts w:ascii="Arial" w:hAnsi="Arial" w:cs="Arial"/>
          <w:color w:val="000000" w:themeColor="text1"/>
          <w:lang w:eastAsia="cs-CZ"/>
        </w:rPr>
        <w:t>které ani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 nemusejí mít odborný základ</w:t>
      </w:r>
      <w:r w:rsidR="009033B7">
        <w:rPr>
          <w:rFonts w:ascii="Arial" w:hAnsi="Arial" w:cs="Arial"/>
          <w:color w:val="000000" w:themeColor="text1"/>
          <w:lang w:eastAsia="cs-CZ"/>
        </w:rPr>
        <w:t>,</w:t>
      </w:r>
    </w:p>
    <w:p w14:paraId="70ACD8E5" w14:textId="519BF4AF" w:rsidR="00A638F7" w:rsidRPr="00A638F7" w:rsidRDefault="00A638F7" w:rsidP="00A638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stanovuje, že 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předpokladem </w:t>
      </w:r>
      <w:r>
        <w:rPr>
          <w:rFonts w:ascii="Arial" w:hAnsi="Arial" w:cs="Arial"/>
          <w:color w:val="000000" w:themeColor="text1"/>
          <w:lang w:eastAsia="cs-CZ"/>
        </w:rPr>
        <w:t xml:space="preserve">pro </w:t>
      </w:r>
      <w:r w:rsidRPr="00A638F7">
        <w:rPr>
          <w:rFonts w:ascii="Arial" w:hAnsi="Arial" w:cs="Arial"/>
          <w:color w:val="000000" w:themeColor="text1"/>
          <w:lang w:eastAsia="cs-CZ"/>
        </w:rPr>
        <w:t>účast v řízení není územní přísluš</w:t>
      </w:r>
      <w:r>
        <w:rPr>
          <w:rFonts w:ascii="Arial" w:hAnsi="Arial" w:cs="Arial"/>
          <w:color w:val="000000" w:themeColor="text1"/>
          <w:lang w:eastAsia="cs-CZ"/>
        </w:rPr>
        <w:t>nost a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 vstoupit do řízení může </w:t>
      </w:r>
      <w:r>
        <w:rPr>
          <w:rFonts w:ascii="Arial" w:hAnsi="Arial" w:cs="Arial"/>
          <w:color w:val="000000" w:themeColor="text1"/>
          <w:lang w:eastAsia="cs-CZ"/>
        </w:rPr>
        <w:t>doslova kdokoli jen na základě 200 neověřených podpisů</w:t>
      </w:r>
      <w:r w:rsidR="009033B7">
        <w:rPr>
          <w:rFonts w:ascii="Arial" w:hAnsi="Arial" w:cs="Arial"/>
          <w:color w:val="000000" w:themeColor="text1"/>
          <w:lang w:eastAsia="cs-CZ"/>
        </w:rPr>
        <w:t>,</w:t>
      </w:r>
    </w:p>
    <w:p w14:paraId="38022D2B" w14:textId="6706CECA" w:rsidR="00A638F7" w:rsidRPr="00A638F7" w:rsidRDefault="00A638F7" w:rsidP="00A638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stanovuje, že </w:t>
      </w:r>
      <w:r w:rsidRPr="00A638F7">
        <w:rPr>
          <w:rFonts w:ascii="Arial" w:hAnsi="Arial" w:cs="Arial"/>
          <w:color w:val="000000" w:themeColor="text1"/>
          <w:lang w:eastAsia="cs-CZ"/>
        </w:rPr>
        <w:t xml:space="preserve">veřejnost </w:t>
      </w:r>
      <w:r>
        <w:rPr>
          <w:rFonts w:ascii="Arial" w:hAnsi="Arial" w:cs="Arial"/>
          <w:color w:val="000000" w:themeColor="text1"/>
          <w:lang w:eastAsia="cs-CZ"/>
        </w:rPr>
        <w:t xml:space="preserve">je </w:t>
      </w:r>
      <w:r w:rsidRPr="00A638F7">
        <w:rPr>
          <w:rFonts w:ascii="Arial" w:hAnsi="Arial" w:cs="Arial"/>
          <w:color w:val="000000" w:themeColor="text1"/>
          <w:lang w:eastAsia="cs-CZ"/>
        </w:rPr>
        <w:t>oprávněna proti každému řízení podat návrh na soudní přezkum, a to i opakovaně a ze stejných důvodů</w:t>
      </w:r>
      <w:r w:rsidR="009033B7">
        <w:rPr>
          <w:rFonts w:ascii="Arial" w:hAnsi="Arial" w:cs="Arial"/>
          <w:color w:val="000000" w:themeColor="text1"/>
          <w:lang w:eastAsia="cs-CZ"/>
        </w:rPr>
        <w:t>,</w:t>
      </w:r>
    </w:p>
    <w:p w14:paraId="468BA9C8" w14:textId="0B3806D5" w:rsidR="00A638F7" w:rsidRPr="00A638F7" w:rsidRDefault="00A638F7" w:rsidP="00A638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stanovuje, že </w:t>
      </w:r>
      <w:r w:rsidRPr="00A638F7">
        <w:rPr>
          <w:rFonts w:ascii="Arial" w:hAnsi="Arial" w:cs="Arial"/>
          <w:color w:val="000000" w:themeColor="text1"/>
          <w:lang w:eastAsia="cs-CZ"/>
        </w:rPr>
        <w:t>veřejnost neodpovídá za finanční důsledky požadovaných opatření a prodlužování lhůt</w:t>
      </w:r>
      <w:r w:rsidR="009033B7">
        <w:rPr>
          <w:rFonts w:ascii="Arial" w:hAnsi="Arial" w:cs="Arial"/>
          <w:color w:val="000000" w:themeColor="text1"/>
          <w:lang w:eastAsia="cs-CZ"/>
        </w:rPr>
        <w:t>,</w:t>
      </w:r>
    </w:p>
    <w:p w14:paraId="4FC6D9A5" w14:textId="7F6ADEFC" w:rsidR="0080509D" w:rsidRDefault="00A638F7" w:rsidP="008050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umožňuje podávat případnou </w:t>
      </w:r>
      <w:r w:rsidR="005E03CB" w:rsidRPr="0080509D">
        <w:rPr>
          <w:rFonts w:ascii="Arial" w:hAnsi="Arial" w:cs="Arial"/>
          <w:color w:val="000000" w:themeColor="text1"/>
          <w:lang w:eastAsia="cs-CZ"/>
        </w:rPr>
        <w:t>ž</w:t>
      </w:r>
      <w:r w:rsidR="001A6A63" w:rsidRPr="0080509D">
        <w:rPr>
          <w:rFonts w:ascii="Arial" w:hAnsi="Arial" w:cs="Arial"/>
          <w:color w:val="000000" w:themeColor="text1"/>
          <w:lang w:eastAsia="cs-CZ"/>
        </w:rPr>
        <w:t>alobu i bez předchozí účasti v procesu EIA</w:t>
      </w:r>
      <w:r w:rsidR="005E03CB" w:rsidRPr="0080509D">
        <w:rPr>
          <w:rFonts w:ascii="Arial" w:hAnsi="Arial" w:cs="Arial"/>
          <w:color w:val="000000" w:themeColor="text1"/>
          <w:lang w:eastAsia="cs-CZ"/>
        </w:rPr>
        <w:t xml:space="preserve"> a kaž</w:t>
      </w:r>
      <w:r>
        <w:rPr>
          <w:rFonts w:ascii="Arial" w:hAnsi="Arial" w:cs="Arial"/>
          <w:color w:val="000000" w:themeColor="text1"/>
          <w:lang w:eastAsia="cs-CZ"/>
        </w:rPr>
        <w:t>dé</w:t>
      </w:r>
      <w:r w:rsidR="005E03CB" w:rsidRPr="0080509D">
        <w:rPr>
          <w:rFonts w:ascii="Arial" w:hAnsi="Arial" w:cs="Arial"/>
          <w:color w:val="000000" w:themeColor="text1"/>
          <w:lang w:eastAsia="cs-CZ"/>
        </w:rPr>
        <w:t xml:space="preserve"> žalob</w:t>
      </w:r>
      <w:r>
        <w:rPr>
          <w:rFonts w:ascii="Arial" w:hAnsi="Arial" w:cs="Arial"/>
          <w:color w:val="000000" w:themeColor="text1"/>
          <w:lang w:eastAsia="cs-CZ"/>
        </w:rPr>
        <w:t>ě</w:t>
      </w:r>
      <w:r w:rsidR="005E03CB" w:rsidRPr="0080509D">
        <w:rPr>
          <w:rFonts w:ascii="Arial" w:hAnsi="Arial" w:cs="Arial"/>
          <w:color w:val="000000" w:themeColor="text1"/>
          <w:lang w:eastAsia="cs-CZ"/>
        </w:rPr>
        <w:t xml:space="preserve"> automaticky </w:t>
      </w:r>
      <w:r>
        <w:rPr>
          <w:rFonts w:ascii="Arial" w:hAnsi="Arial" w:cs="Arial"/>
          <w:color w:val="000000" w:themeColor="text1"/>
          <w:lang w:eastAsia="cs-CZ"/>
        </w:rPr>
        <w:t>přisuzuje</w:t>
      </w:r>
      <w:r w:rsidR="005E03CB" w:rsidRPr="0080509D">
        <w:rPr>
          <w:rFonts w:ascii="Arial" w:hAnsi="Arial" w:cs="Arial"/>
          <w:color w:val="000000" w:themeColor="text1"/>
          <w:lang w:eastAsia="cs-CZ"/>
        </w:rPr>
        <w:t xml:space="preserve"> odkladný účinek</w:t>
      </w:r>
      <w:r w:rsidR="009033B7">
        <w:rPr>
          <w:rFonts w:ascii="Arial" w:hAnsi="Arial" w:cs="Arial"/>
          <w:color w:val="000000" w:themeColor="text1"/>
          <w:lang w:eastAsia="cs-CZ"/>
        </w:rPr>
        <w:t>.</w:t>
      </w:r>
    </w:p>
    <w:p w14:paraId="6B78F49E" w14:textId="18EE5E47" w:rsidR="003064C1" w:rsidRDefault="00C67736" w:rsidP="00A638F7">
      <w:pPr>
        <w:contextualSpacing/>
        <w:jc w:val="both"/>
        <w:rPr>
          <w:rFonts w:ascii="Arial" w:hAnsi="Arial" w:cs="Arial"/>
          <w:i/>
          <w:lang w:eastAsia="cs-CZ"/>
        </w:rPr>
      </w:pPr>
      <w:r w:rsidRPr="00C67736">
        <w:rPr>
          <w:rFonts w:ascii="Arial" w:hAnsi="Arial" w:cs="Arial"/>
          <w:i/>
          <w:lang w:eastAsia="cs-CZ"/>
        </w:rPr>
        <w:lastRenderedPageBreak/>
        <w:t>„Nezapomínejme na to, že žijeme v České republice, zemi kverulantů. Proti jakémukoli, i sebeprospěšnějšímu záměru se vždy najde někdo, kdo bude stůj co stůj proti. A novela zákona v současné podobě dává takovým lidem do rukou ostrou munici,“</w:t>
      </w:r>
      <w:r>
        <w:rPr>
          <w:rFonts w:ascii="Arial" w:hAnsi="Arial" w:cs="Arial"/>
          <w:lang w:eastAsia="cs-CZ"/>
        </w:rPr>
        <w:t xml:space="preserve"> varuje</w:t>
      </w:r>
      <w:r w:rsidR="003064C1">
        <w:rPr>
          <w:rFonts w:ascii="Arial" w:hAnsi="Arial" w:cs="Arial"/>
          <w:lang w:eastAsia="cs-CZ"/>
        </w:rPr>
        <w:t xml:space="preserve"> před novou právní úpravou</w:t>
      </w:r>
      <w:r>
        <w:rPr>
          <w:rFonts w:ascii="Arial" w:hAnsi="Arial" w:cs="Arial"/>
          <w:lang w:eastAsia="cs-CZ"/>
        </w:rPr>
        <w:t xml:space="preserve"> Ladislav Váňa, </w:t>
      </w:r>
      <w:r w:rsidRPr="00C67736">
        <w:rPr>
          <w:rFonts w:ascii="Arial" w:hAnsi="Arial" w:cs="Arial"/>
          <w:lang w:eastAsia="cs-CZ"/>
        </w:rPr>
        <w:t xml:space="preserve">generální ředitel </w:t>
      </w:r>
      <w:r w:rsidR="003064C1">
        <w:rPr>
          <w:rFonts w:ascii="Arial" w:hAnsi="Arial" w:cs="Arial"/>
          <w:lang w:eastAsia="cs-CZ"/>
        </w:rPr>
        <w:t xml:space="preserve">největší české </w:t>
      </w:r>
      <w:r>
        <w:rPr>
          <w:rFonts w:ascii="Arial" w:hAnsi="Arial" w:cs="Arial"/>
          <w:lang w:eastAsia="cs-CZ"/>
        </w:rPr>
        <w:t xml:space="preserve">developerské </w:t>
      </w:r>
      <w:r w:rsidRPr="00C67736">
        <w:rPr>
          <w:rFonts w:ascii="Arial" w:hAnsi="Arial" w:cs="Arial"/>
          <w:lang w:eastAsia="cs-CZ"/>
        </w:rPr>
        <w:t>společnosti</w:t>
      </w:r>
      <w:r w:rsidR="003064C1">
        <w:rPr>
          <w:rFonts w:ascii="Arial" w:hAnsi="Arial" w:cs="Arial"/>
          <w:lang w:eastAsia="cs-CZ"/>
        </w:rPr>
        <w:t xml:space="preserve"> CENTRAL GROUP a dodává: </w:t>
      </w:r>
      <w:r w:rsidR="003064C1" w:rsidRPr="00A638F7">
        <w:rPr>
          <w:rFonts w:ascii="Arial" w:hAnsi="Arial" w:cs="Arial"/>
          <w:i/>
          <w:lang w:eastAsia="cs-CZ"/>
        </w:rPr>
        <w:t>„Nejde pouze o soukromé, ale o všechny investiční záměry. Vstoupí</w:t>
      </w:r>
      <w:r w:rsidR="00F42723" w:rsidRPr="00A638F7">
        <w:rPr>
          <w:rFonts w:ascii="Arial" w:hAnsi="Arial" w:cs="Arial"/>
          <w:i/>
          <w:lang w:eastAsia="cs-CZ"/>
        </w:rPr>
        <w:t xml:space="preserve">-li novela v tomto znění v platnost, nepostaví se u nás prakticky nic a </w:t>
      </w:r>
      <w:r w:rsidR="00A638F7">
        <w:rPr>
          <w:rFonts w:ascii="Arial" w:hAnsi="Arial" w:cs="Arial"/>
          <w:i/>
          <w:lang w:eastAsia="cs-CZ"/>
        </w:rPr>
        <w:t>záměry v již pokročilých fázích přípravy se vrátí opět na začátek.“</w:t>
      </w:r>
    </w:p>
    <w:p w14:paraId="0BA38EBB" w14:textId="77777777" w:rsidR="00A638F7" w:rsidRDefault="00A638F7" w:rsidP="00A638F7">
      <w:pPr>
        <w:contextualSpacing/>
        <w:jc w:val="both"/>
        <w:rPr>
          <w:rFonts w:ascii="Arial" w:hAnsi="Arial" w:cs="Arial"/>
          <w:b/>
          <w:lang w:eastAsia="cs-CZ"/>
        </w:rPr>
      </w:pPr>
    </w:p>
    <w:p w14:paraId="410F680B" w14:textId="0DA15E10" w:rsidR="00652F2B" w:rsidRDefault="00652F2B" w:rsidP="00C350E2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A6A63">
        <w:rPr>
          <w:rFonts w:ascii="Arial" w:hAnsi="Arial" w:cs="Arial"/>
          <w:b/>
          <w:sz w:val="24"/>
          <w:szCs w:val="24"/>
          <w:lang w:eastAsia="cs-CZ"/>
        </w:rPr>
        <w:t>Český legislativní paradox</w:t>
      </w:r>
    </w:p>
    <w:p w14:paraId="11B66F92" w14:textId="77777777" w:rsidR="001A6A63" w:rsidRPr="001A6A63" w:rsidRDefault="001A6A63" w:rsidP="00C350E2">
      <w:pPr>
        <w:spacing w:after="0"/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14:paraId="346D6267" w14:textId="41F95FEF" w:rsidR="00F42723" w:rsidRDefault="003064C1" w:rsidP="00C350E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Zvláštní jsou také souvislosti, v nichž novela zákona vzniká. </w:t>
      </w:r>
      <w:r w:rsidR="00F42723">
        <w:rPr>
          <w:rFonts w:ascii="Arial" w:hAnsi="Arial" w:cs="Arial"/>
          <w:lang w:eastAsia="cs-CZ"/>
        </w:rPr>
        <w:t xml:space="preserve">Konkrétní kroky a návrhy zákonů, které připravují jednotlivá </w:t>
      </w:r>
      <w:r w:rsidR="009033B7">
        <w:rPr>
          <w:rFonts w:ascii="Arial" w:hAnsi="Arial" w:cs="Arial"/>
          <w:lang w:eastAsia="cs-CZ"/>
        </w:rPr>
        <w:t xml:space="preserve">vládní </w:t>
      </w:r>
      <w:r w:rsidR="00F42723">
        <w:rPr>
          <w:rFonts w:ascii="Arial" w:hAnsi="Arial" w:cs="Arial"/>
          <w:lang w:eastAsia="cs-CZ"/>
        </w:rPr>
        <w:t xml:space="preserve">ministerstva, jsou totiž v přímém rozporu.  </w:t>
      </w:r>
    </w:p>
    <w:p w14:paraId="2DA64CB9" w14:textId="77777777" w:rsidR="00F42723" w:rsidRDefault="00F42723" w:rsidP="00C350E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14:paraId="404500FC" w14:textId="082DED8A" w:rsidR="00C67736" w:rsidRDefault="00C17107" w:rsidP="00C350E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17107">
        <w:rPr>
          <w:rFonts w:ascii="Arial" w:hAnsi="Arial" w:cs="Arial"/>
          <w:lang w:eastAsia="cs-CZ"/>
        </w:rPr>
        <w:t>„K výstavbě dálnice se dnes vyjadřuje jezevec i ekologický terorista,“</w:t>
      </w:r>
      <w:r>
        <w:rPr>
          <w:rFonts w:ascii="Arial" w:hAnsi="Arial" w:cs="Arial"/>
          <w:lang w:eastAsia="cs-CZ"/>
        </w:rPr>
        <w:t xml:space="preserve"> hřímal v loňském roce před volbami dnešní vicepremiér Andrej </w:t>
      </w:r>
      <w:proofErr w:type="spellStart"/>
      <w:r>
        <w:rPr>
          <w:rFonts w:ascii="Arial" w:hAnsi="Arial" w:cs="Arial"/>
          <w:lang w:eastAsia="cs-CZ"/>
        </w:rPr>
        <w:t>Babiš</w:t>
      </w:r>
      <w:proofErr w:type="spellEnd"/>
      <w:r>
        <w:rPr>
          <w:rFonts w:ascii="Arial" w:hAnsi="Arial" w:cs="Arial"/>
          <w:lang w:eastAsia="cs-CZ"/>
        </w:rPr>
        <w:t xml:space="preserve">. Z pozice podnikatele si oprávněně stěžoval na průtahy v povolovacích procesech, </w:t>
      </w:r>
      <w:r w:rsidR="00C67736">
        <w:rPr>
          <w:rFonts w:ascii="Arial" w:hAnsi="Arial" w:cs="Arial"/>
          <w:lang w:eastAsia="cs-CZ"/>
        </w:rPr>
        <w:t xml:space="preserve">které významně komplikují jakékoli investiční záměry </w:t>
      </w:r>
      <w:r w:rsidR="00F42723">
        <w:rPr>
          <w:rFonts w:ascii="Arial" w:hAnsi="Arial" w:cs="Arial"/>
          <w:lang w:eastAsia="cs-CZ"/>
        </w:rPr>
        <w:t xml:space="preserve">fyzických osob, </w:t>
      </w:r>
      <w:r w:rsidR="00C67736">
        <w:rPr>
          <w:rFonts w:ascii="Arial" w:hAnsi="Arial" w:cs="Arial"/>
          <w:lang w:eastAsia="cs-CZ"/>
        </w:rPr>
        <w:t xml:space="preserve">firem i státu. </w:t>
      </w:r>
    </w:p>
    <w:p w14:paraId="67896A2B" w14:textId="77777777" w:rsidR="00C67736" w:rsidRDefault="00C67736" w:rsidP="00C350E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14:paraId="3206D61B" w14:textId="4F252243" w:rsidR="00996D20" w:rsidRPr="00996D20" w:rsidRDefault="00C67736" w:rsidP="00996D20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 po překvapivém volebním výsledku jeho hnutí ANO se noví ministři opravdu pustili do nápravy. Dobrým příkladem může být třeba chystaná n</w:t>
      </w:r>
      <w:r w:rsidRPr="00C67736">
        <w:rPr>
          <w:rFonts w:ascii="Arial" w:hAnsi="Arial" w:cs="Arial"/>
          <w:lang w:eastAsia="cs-CZ"/>
        </w:rPr>
        <w:t xml:space="preserve">ovela </w:t>
      </w:r>
      <w:r>
        <w:rPr>
          <w:rFonts w:ascii="Arial" w:hAnsi="Arial" w:cs="Arial"/>
          <w:lang w:eastAsia="cs-CZ"/>
        </w:rPr>
        <w:t>stavebního zákona, kterou slíbilo do konce letošního roku připravit Ministerstvo pro místní rozvoj</w:t>
      </w:r>
      <w:r w:rsidR="00F42723">
        <w:rPr>
          <w:rFonts w:ascii="Arial" w:hAnsi="Arial" w:cs="Arial"/>
          <w:lang w:eastAsia="cs-CZ"/>
        </w:rPr>
        <w:t xml:space="preserve"> ČR</w:t>
      </w:r>
      <w:r w:rsidR="00996D20">
        <w:rPr>
          <w:rFonts w:ascii="Arial" w:hAnsi="Arial" w:cs="Arial"/>
          <w:lang w:eastAsia="cs-CZ"/>
        </w:rPr>
        <w:t>. Ta</w:t>
      </w:r>
      <w:r>
        <w:rPr>
          <w:rFonts w:ascii="Arial" w:hAnsi="Arial" w:cs="Arial"/>
          <w:lang w:eastAsia="cs-CZ"/>
        </w:rPr>
        <w:t xml:space="preserve"> by</w:t>
      </w:r>
      <w:r w:rsidR="00F42723">
        <w:rPr>
          <w:rFonts w:ascii="Arial" w:hAnsi="Arial" w:cs="Arial"/>
          <w:lang w:eastAsia="cs-CZ"/>
        </w:rPr>
        <w:t xml:space="preserve"> měla m</w:t>
      </w:r>
      <w:r w:rsidRPr="00C67736">
        <w:rPr>
          <w:rFonts w:ascii="Arial" w:hAnsi="Arial" w:cs="Arial"/>
          <w:lang w:eastAsia="cs-CZ"/>
        </w:rPr>
        <w:t xml:space="preserve">imo jiné sloučit všechna povolovací řízení do jednoho a </w:t>
      </w:r>
      <w:r w:rsidR="00F42723">
        <w:rPr>
          <w:rFonts w:ascii="Arial" w:hAnsi="Arial" w:cs="Arial"/>
          <w:lang w:eastAsia="cs-CZ"/>
        </w:rPr>
        <w:t xml:space="preserve">významně tak </w:t>
      </w:r>
      <w:r w:rsidRPr="00C67736">
        <w:rPr>
          <w:rFonts w:ascii="Arial" w:hAnsi="Arial" w:cs="Arial"/>
          <w:lang w:eastAsia="cs-CZ"/>
        </w:rPr>
        <w:t>zjednodušit získávání stavební</w:t>
      </w:r>
      <w:r w:rsidR="00947342">
        <w:rPr>
          <w:rFonts w:ascii="Arial" w:hAnsi="Arial" w:cs="Arial"/>
          <w:lang w:eastAsia="cs-CZ"/>
        </w:rPr>
        <w:t>ch</w:t>
      </w:r>
      <w:r w:rsidRPr="00C67736">
        <w:rPr>
          <w:rFonts w:ascii="Arial" w:hAnsi="Arial" w:cs="Arial"/>
          <w:lang w:eastAsia="cs-CZ"/>
        </w:rPr>
        <w:t xml:space="preserve"> povolení.</w:t>
      </w:r>
      <w:r w:rsidR="00F42723">
        <w:rPr>
          <w:rFonts w:ascii="Arial" w:hAnsi="Arial" w:cs="Arial"/>
          <w:lang w:eastAsia="cs-CZ"/>
        </w:rPr>
        <w:t xml:space="preserve"> </w:t>
      </w:r>
      <w:r w:rsidR="00996D20" w:rsidRPr="00996D20">
        <w:rPr>
          <w:rFonts w:ascii="Arial" w:hAnsi="Arial" w:cs="Arial"/>
          <w:lang w:eastAsia="cs-CZ"/>
        </w:rPr>
        <w:t xml:space="preserve">Novela má také upřesnit působnosti dotčených orgánů, zkrátit proces pořizování změn </w:t>
      </w:r>
      <w:r w:rsidR="00996D20">
        <w:rPr>
          <w:rFonts w:ascii="Arial" w:hAnsi="Arial" w:cs="Arial"/>
          <w:lang w:eastAsia="cs-CZ"/>
        </w:rPr>
        <w:t>či</w:t>
      </w:r>
      <w:r w:rsidR="00996D20" w:rsidRPr="00996D20">
        <w:rPr>
          <w:rFonts w:ascii="Arial" w:hAnsi="Arial" w:cs="Arial"/>
          <w:lang w:eastAsia="cs-CZ"/>
        </w:rPr>
        <w:t xml:space="preserve"> soudní lhůty při odvolání.</w:t>
      </w:r>
      <w:r w:rsidR="00996D20">
        <w:rPr>
          <w:rFonts w:ascii="Arial" w:hAnsi="Arial" w:cs="Arial"/>
          <w:lang w:eastAsia="cs-CZ"/>
        </w:rPr>
        <w:t xml:space="preserve"> S platností nového zákona se počítá od 1. ledna 2016.</w:t>
      </w:r>
    </w:p>
    <w:p w14:paraId="16197156" w14:textId="77777777" w:rsidR="00996D20" w:rsidRDefault="00996D20" w:rsidP="00C6773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14:paraId="010F8A37" w14:textId="6FF5864F" w:rsidR="00F42723" w:rsidRDefault="00F42723" w:rsidP="00C67736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Naproti tomu dopady novely „zákona o EIA“, kterou paralelně připravuje ministerstvo životního prostředí</w:t>
      </w:r>
      <w:r w:rsidR="00996D20">
        <w:rPr>
          <w:rFonts w:ascii="Arial" w:hAnsi="Arial" w:cs="Arial"/>
          <w:lang w:eastAsia="cs-CZ"/>
        </w:rPr>
        <w:t xml:space="preserve"> a která by měla platit již od 1. ledna příštího roku</w:t>
      </w:r>
      <w:r>
        <w:rPr>
          <w:rFonts w:ascii="Arial" w:hAnsi="Arial" w:cs="Arial"/>
          <w:lang w:eastAsia="cs-CZ"/>
        </w:rPr>
        <w:t xml:space="preserve">, budou přesně opačné. Hořkou ironií pak je fakt, že jak ministr životního prostředí, tak i ministryně pro místní rozvoj </w:t>
      </w:r>
      <w:r w:rsidR="001A6A63">
        <w:rPr>
          <w:rFonts w:ascii="Arial" w:hAnsi="Arial" w:cs="Arial"/>
          <w:lang w:eastAsia="cs-CZ"/>
        </w:rPr>
        <w:t>pocházejí</w:t>
      </w:r>
      <w:r>
        <w:rPr>
          <w:rFonts w:ascii="Arial" w:hAnsi="Arial" w:cs="Arial"/>
          <w:lang w:eastAsia="cs-CZ"/>
        </w:rPr>
        <w:t xml:space="preserve"> ze stejné </w:t>
      </w:r>
      <w:r w:rsidR="00996D20">
        <w:rPr>
          <w:rFonts w:ascii="Arial" w:hAnsi="Arial" w:cs="Arial"/>
          <w:lang w:eastAsia="cs-CZ"/>
        </w:rPr>
        <w:t xml:space="preserve">vládní strany. </w:t>
      </w:r>
    </w:p>
    <w:p w14:paraId="0FB02E14" w14:textId="77777777" w:rsidR="00996D20" w:rsidRDefault="00996D20" w:rsidP="00C6773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14:paraId="711FA348" w14:textId="6D80E682" w:rsidR="00D63698" w:rsidRDefault="001A6A63" w:rsidP="004B31B4">
      <w:pPr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A6A63">
        <w:rPr>
          <w:rFonts w:ascii="Arial" w:hAnsi="Arial" w:cs="Arial"/>
          <w:b/>
          <w:sz w:val="24"/>
          <w:szCs w:val="24"/>
          <w:lang w:eastAsia="cs-CZ"/>
        </w:rPr>
        <w:t>Práce kvapná, málo platná</w:t>
      </w:r>
    </w:p>
    <w:p w14:paraId="396924D2" w14:textId="77777777" w:rsidR="001A6A63" w:rsidRPr="001A6A63" w:rsidRDefault="001A6A63" w:rsidP="004B31B4">
      <w:pPr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14:paraId="484DD8BF" w14:textId="5B58B4D3" w:rsidR="001A6A63" w:rsidRDefault="00814ED9" w:rsidP="004B31B4">
      <w:pPr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Legislativní rada vlády</w:t>
      </w:r>
      <w:r w:rsidR="001A6A63">
        <w:rPr>
          <w:rFonts w:ascii="Arial" w:hAnsi="Arial" w:cs="Arial"/>
          <w:lang w:eastAsia="cs-CZ"/>
        </w:rPr>
        <w:t xml:space="preserve"> se na </w:t>
      </w:r>
      <w:r>
        <w:rPr>
          <w:rFonts w:ascii="Arial" w:hAnsi="Arial" w:cs="Arial"/>
          <w:lang w:eastAsia="cs-CZ"/>
        </w:rPr>
        <w:t xml:space="preserve">svých webových </w:t>
      </w:r>
      <w:r w:rsidR="001A6A63">
        <w:rPr>
          <w:rFonts w:ascii="Arial" w:hAnsi="Arial" w:cs="Arial"/>
          <w:lang w:eastAsia="cs-CZ"/>
        </w:rPr>
        <w:t>stránkách dušuje, že „c</w:t>
      </w:r>
      <w:r w:rsidR="001A6A63" w:rsidRPr="001A6A63">
        <w:rPr>
          <w:rFonts w:ascii="Arial" w:hAnsi="Arial" w:cs="Arial"/>
          <w:lang w:eastAsia="cs-CZ"/>
        </w:rPr>
        <w:t>ílem předloženého návrhu zákona je urychleně zajistit kompatibilitu české právní úpravy posuzování vlivů na životní prostředí se směrnicí Evropského parlamentu a Rady 2011/92/EU</w:t>
      </w:r>
      <w:r>
        <w:rPr>
          <w:rFonts w:ascii="Arial" w:hAnsi="Arial" w:cs="Arial"/>
          <w:lang w:eastAsia="cs-CZ"/>
        </w:rPr>
        <w:t>,</w:t>
      </w:r>
      <w:r w:rsidR="001A6A63" w:rsidRPr="001A6A63">
        <w:rPr>
          <w:rFonts w:ascii="Arial" w:hAnsi="Arial" w:cs="Arial"/>
          <w:lang w:eastAsia="cs-CZ"/>
        </w:rPr>
        <w:t xml:space="preserve"> o posuzování vlivů některých veřejných a soukrom</w:t>
      </w:r>
      <w:r w:rsidR="001A6A63">
        <w:rPr>
          <w:rFonts w:ascii="Arial" w:hAnsi="Arial" w:cs="Arial"/>
          <w:lang w:eastAsia="cs-CZ"/>
        </w:rPr>
        <w:t>ých záměrů na životní prostředí</w:t>
      </w:r>
      <w:r w:rsidR="001A6A63" w:rsidRPr="001A6A63">
        <w:rPr>
          <w:rFonts w:ascii="Arial" w:hAnsi="Arial" w:cs="Arial"/>
          <w:lang w:eastAsia="cs-CZ"/>
        </w:rPr>
        <w:t xml:space="preserve"> (tzv. EIA směrnice).</w:t>
      </w:r>
      <w:r w:rsidR="001A6A63" w:rsidRPr="001A6A63">
        <w:t xml:space="preserve"> </w:t>
      </w:r>
      <w:r w:rsidR="001A6A63" w:rsidRPr="001A6A63">
        <w:rPr>
          <w:rFonts w:ascii="Arial" w:hAnsi="Arial" w:cs="Arial"/>
          <w:lang w:eastAsia="cs-CZ"/>
        </w:rPr>
        <w:t xml:space="preserve">Evropská komise má </w:t>
      </w:r>
      <w:r w:rsidR="001A6A63">
        <w:rPr>
          <w:rFonts w:ascii="Arial" w:hAnsi="Arial" w:cs="Arial"/>
          <w:lang w:eastAsia="cs-CZ"/>
        </w:rPr>
        <w:t xml:space="preserve">totiž </w:t>
      </w:r>
      <w:r w:rsidR="001A6A63" w:rsidRPr="001A6A63">
        <w:rPr>
          <w:rFonts w:ascii="Arial" w:hAnsi="Arial" w:cs="Arial"/>
          <w:lang w:eastAsia="cs-CZ"/>
        </w:rPr>
        <w:t>k české právní úpravě v oblasti EIA dlouhodobé výtky</w:t>
      </w:r>
      <w:r w:rsidR="001A6A63">
        <w:rPr>
          <w:rFonts w:ascii="Arial" w:hAnsi="Arial" w:cs="Arial"/>
          <w:lang w:eastAsia="cs-CZ"/>
        </w:rPr>
        <w:t>.“</w:t>
      </w:r>
    </w:p>
    <w:p w14:paraId="21DDB5B3" w14:textId="77777777" w:rsidR="001A6A63" w:rsidRDefault="001A6A63" w:rsidP="004B31B4">
      <w:pPr>
        <w:contextualSpacing/>
        <w:jc w:val="both"/>
        <w:rPr>
          <w:rFonts w:ascii="Arial" w:hAnsi="Arial" w:cs="Arial"/>
          <w:lang w:eastAsia="cs-CZ"/>
        </w:rPr>
      </w:pPr>
    </w:p>
    <w:p w14:paraId="2AC5A6FD" w14:textId="15CBBD82" w:rsidR="001A6A63" w:rsidRPr="00911318" w:rsidRDefault="001A6A63" w:rsidP="004B31B4">
      <w:pPr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Klíčové v odstavci výše je slovo „urychleně“. Legislativci z ministerstva životního prostředí zjevně v rychlosti a v obavách, aby jim nebylo z EU opět něco vytýkáno, </w:t>
      </w:r>
      <w:r w:rsidR="00814ED9">
        <w:rPr>
          <w:rFonts w:ascii="Arial" w:hAnsi="Arial" w:cs="Arial"/>
          <w:lang w:eastAsia="cs-CZ"/>
        </w:rPr>
        <w:t xml:space="preserve">totiž </w:t>
      </w:r>
      <w:r>
        <w:rPr>
          <w:rFonts w:ascii="Arial" w:hAnsi="Arial" w:cs="Arial"/>
          <w:lang w:eastAsia="cs-CZ"/>
        </w:rPr>
        <w:t xml:space="preserve">raději </w:t>
      </w:r>
      <w:r w:rsidR="005E03CB">
        <w:rPr>
          <w:rFonts w:ascii="Arial" w:hAnsi="Arial" w:cs="Arial"/>
          <w:lang w:eastAsia="cs-CZ"/>
        </w:rPr>
        <w:t xml:space="preserve">připravili </w:t>
      </w:r>
      <w:r w:rsidR="00814ED9">
        <w:rPr>
          <w:rFonts w:ascii="Arial" w:hAnsi="Arial" w:cs="Arial"/>
          <w:lang w:eastAsia="cs-CZ"/>
        </w:rPr>
        <w:t xml:space="preserve">rovnou </w:t>
      </w:r>
      <w:r w:rsidR="005E03CB">
        <w:rPr>
          <w:rFonts w:ascii="Arial" w:hAnsi="Arial" w:cs="Arial"/>
          <w:lang w:eastAsia="cs-CZ"/>
        </w:rPr>
        <w:t>mnohem přísnější znění novely, než samotná směrnice s označením 2011/92/EU vyžaduje.</w:t>
      </w:r>
      <w:r w:rsidR="0080509D">
        <w:rPr>
          <w:rFonts w:ascii="Arial" w:hAnsi="Arial" w:cs="Arial"/>
          <w:lang w:eastAsia="cs-CZ"/>
        </w:rPr>
        <w:t xml:space="preserve"> To, že výsledek úplně popírá svůj původní smysl, je patrně jaksi vedlejší.</w:t>
      </w:r>
    </w:p>
    <w:p w14:paraId="714BA5A9" w14:textId="77777777" w:rsidR="002E03C6" w:rsidRDefault="002E03C6" w:rsidP="004B31B4">
      <w:pPr>
        <w:contextualSpacing/>
        <w:jc w:val="both"/>
        <w:rPr>
          <w:rFonts w:ascii="Arial" w:hAnsi="Arial" w:cs="Arial"/>
          <w:lang w:eastAsia="cs-CZ"/>
        </w:rPr>
      </w:pPr>
    </w:p>
    <w:p w14:paraId="07497BCC" w14:textId="11320A3D" w:rsidR="001A6A63" w:rsidRPr="00996D20" w:rsidRDefault="001A6A63" w:rsidP="001A6A63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A6A63">
        <w:rPr>
          <w:rFonts w:ascii="Arial" w:hAnsi="Arial" w:cs="Arial"/>
          <w:i/>
          <w:lang w:eastAsia="cs-CZ"/>
        </w:rPr>
        <w:t xml:space="preserve">„Po </w:t>
      </w:r>
      <w:r>
        <w:rPr>
          <w:rFonts w:ascii="Arial" w:hAnsi="Arial" w:cs="Arial"/>
          <w:i/>
          <w:lang w:eastAsia="cs-CZ"/>
        </w:rPr>
        <w:t>každoročním chaosu spojeném</w:t>
      </w:r>
      <w:r w:rsidRPr="001A6A63">
        <w:rPr>
          <w:rFonts w:ascii="Arial" w:hAnsi="Arial" w:cs="Arial"/>
          <w:i/>
          <w:lang w:eastAsia="cs-CZ"/>
        </w:rPr>
        <w:t xml:space="preserve"> s navyšováním a změnami DPH u novostaveb, kdy pár týdnů před koncem roku stále nebylo jasné, jaká výše DPH bude na co uplatňována, tu máme nový druh zmatku. Trochu to připomíná </w:t>
      </w:r>
      <w:r>
        <w:rPr>
          <w:rFonts w:ascii="Arial" w:hAnsi="Arial" w:cs="Arial"/>
          <w:i/>
          <w:lang w:eastAsia="cs-CZ"/>
        </w:rPr>
        <w:t>rčen</w:t>
      </w:r>
      <w:r w:rsidRPr="001A6A63">
        <w:rPr>
          <w:rFonts w:ascii="Arial" w:hAnsi="Arial" w:cs="Arial"/>
          <w:i/>
          <w:lang w:eastAsia="cs-CZ"/>
        </w:rPr>
        <w:t>í, kdy levá ruka neví, co dělá pravá,</w:t>
      </w:r>
      <w:r>
        <w:rPr>
          <w:rFonts w:ascii="Arial" w:hAnsi="Arial" w:cs="Arial"/>
          <w:i/>
          <w:lang w:eastAsia="cs-CZ"/>
        </w:rPr>
        <w:t xml:space="preserve"> nebo ještě jiné rčení o kvapné práci. Náklady v podobě výrazného prodloužení schvalovacích procesů a prodražování staveb ale </w:t>
      </w:r>
      <w:r w:rsidR="00DE54DB">
        <w:rPr>
          <w:rFonts w:ascii="Arial" w:hAnsi="Arial" w:cs="Arial"/>
          <w:i/>
          <w:lang w:eastAsia="cs-CZ"/>
        </w:rPr>
        <w:t xml:space="preserve">bohužel </w:t>
      </w:r>
      <w:r>
        <w:rPr>
          <w:rFonts w:ascii="Arial" w:hAnsi="Arial" w:cs="Arial"/>
          <w:i/>
          <w:lang w:eastAsia="cs-CZ"/>
        </w:rPr>
        <w:t>ponesou firmy a občané,</w:t>
      </w:r>
      <w:r w:rsidRPr="001A6A63">
        <w:rPr>
          <w:rFonts w:ascii="Arial" w:hAnsi="Arial" w:cs="Arial"/>
          <w:i/>
          <w:lang w:eastAsia="cs-CZ"/>
        </w:rPr>
        <w:t xml:space="preserve">“ </w:t>
      </w:r>
      <w:r>
        <w:rPr>
          <w:rFonts w:ascii="Arial" w:hAnsi="Arial" w:cs="Arial"/>
          <w:lang w:eastAsia="cs-CZ"/>
        </w:rPr>
        <w:t xml:space="preserve">uzavírá Ladislav Váňa. </w:t>
      </w:r>
      <w:r w:rsidRPr="00996D20">
        <w:rPr>
          <w:rFonts w:ascii="Arial" w:hAnsi="Arial" w:cs="Arial"/>
          <w:lang w:eastAsia="cs-CZ"/>
        </w:rPr>
        <w:t xml:space="preserve">  </w:t>
      </w:r>
    </w:p>
    <w:p w14:paraId="3E77006A" w14:textId="792102CD" w:rsidR="00C350E2" w:rsidRPr="00BE0CE4" w:rsidRDefault="005E03CB" w:rsidP="00C350E2">
      <w:pPr>
        <w:pBdr>
          <w:top w:val="single" w:sz="4" w:space="1" w:color="auto"/>
        </w:pBdr>
        <w:autoSpaceDE w:val="0"/>
        <w:autoSpaceDN w:val="0"/>
        <w:adjustRightInd w:val="0"/>
        <w:spacing w:before="360"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lastRenderedPageBreak/>
        <w:t>P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ro více informací nás </w:t>
      </w:r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C350E2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 xml:space="preserve"> – PR </w:t>
      </w:r>
      <w:proofErr w:type="spellStart"/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>manager</w:t>
      </w:r>
      <w:proofErr w:type="spellEnd"/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 xml:space="preserve"> (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 xml:space="preserve">) nebo Veronika Vohralíková – hlavní analytička (+420 </w:t>
      </w:r>
      <w:r w:rsidR="00C350E2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C350E2">
        <w:rPr>
          <w:rFonts w:ascii="Arial" w:hAnsi="Arial" w:cs="Arial"/>
          <w:color w:val="000000"/>
          <w:sz w:val="16"/>
          <w:szCs w:val="16"/>
          <w:lang w:eastAsia="cs-CZ"/>
        </w:rPr>
        <w:t>), kteří mohou také zprostředkovat jednání s vedoucími pracovníky CENTRAL GROUP nebo jejich vyjádření.</w:t>
      </w:r>
      <w:r w:rsidR="00C350E2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</w:p>
    <w:p w14:paraId="7657B813" w14:textId="77777777" w:rsidR="00C350E2" w:rsidRPr="00BE0CE4" w:rsidRDefault="00C350E2" w:rsidP="00C350E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14:paraId="1E3D9B61" w14:textId="77777777" w:rsidR="00C350E2" w:rsidRPr="00BE0CE4" w:rsidRDefault="00C350E2" w:rsidP="00C350E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Podrobné informace o společnosti CENTRAL GROUP a její nabídce naleznete na </w:t>
      </w:r>
      <w:r w:rsidRPr="00BE0CE4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 w:rsidRPr="00BE0CE4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 w:rsidRPr="00BE0CE4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14:paraId="3C7E900F" w14:textId="77777777" w:rsidR="00C350E2" w:rsidRDefault="00C350E2" w:rsidP="00C350E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14:paraId="5E6975A6" w14:textId="77777777" w:rsidR="00C350E2" w:rsidRDefault="00C350E2" w:rsidP="00C350E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Za 20 let svého působení firma dokončila již 130 rezidenčních lokalit a prodala více než 10.000 nových bytů, domů a parcel. </w:t>
      </w:r>
      <w:r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14:paraId="0ED35838" w14:textId="77777777" w:rsidR="00C350E2" w:rsidRDefault="00C350E2" w:rsidP="00C350E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14:paraId="5CEC19EF" w14:textId="77777777" w:rsidR="00C350E2" w:rsidRDefault="00C350E2" w:rsidP="00C350E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14:paraId="68ABCB80" w14:textId="77777777" w:rsidR="00C350E2" w:rsidRDefault="00C350E2" w:rsidP="00C350E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14:paraId="4B9D6379" w14:textId="7927E5F8" w:rsidR="00101297" w:rsidRDefault="00C350E2" w:rsidP="002E03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CENTRAL GROUP je nejen největším českým prodejcem nových bytů a domů, ale také nejaktivnějším investorem v rámci akvizic nových pozemků pro rezidenční výstavbu. V současné době má nakoupené a připravené pozemky pro více než</w:t>
      </w:r>
      <w:r w:rsidRPr="00DE60AE">
        <w:rPr>
          <w:rFonts w:ascii="Arial" w:hAnsi="Arial" w:cs="Arial"/>
          <w:sz w:val="16"/>
          <w:szCs w:val="16"/>
        </w:rPr>
        <w:t xml:space="preserve"> 11.000 </w:t>
      </w:r>
      <w:r>
        <w:rPr>
          <w:rFonts w:ascii="Arial" w:hAnsi="Arial" w:cs="Arial"/>
          <w:sz w:val="16"/>
          <w:szCs w:val="16"/>
        </w:rPr>
        <w:t xml:space="preserve">nových bytů a rodinných domů. Ty plánuje zařadit do prodeje v průběhu příštích </w:t>
      </w:r>
      <w:r w:rsidRPr="00DE60AE">
        <w:rPr>
          <w:rFonts w:ascii="Arial" w:hAnsi="Arial" w:cs="Arial"/>
          <w:sz w:val="16"/>
          <w:szCs w:val="16"/>
        </w:rPr>
        <w:t xml:space="preserve">osmi </w:t>
      </w:r>
      <w:r>
        <w:rPr>
          <w:rFonts w:ascii="Arial" w:hAnsi="Arial" w:cs="Arial"/>
          <w:sz w:val="16"/>
          <w:szCs w:val="16"/>
        </w:rPr>
        <w:t xml:space="preserve">let. CENTRAL GROUP nadále intenzivně hledá 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</w:t>
      </w:r>
      <w:r w:rsidR="002E03C6">
        <w:rPr>
          <w:rFonts w:ascii="Arial" w:hAnsi="Arial" w:cs="Arial"/>
          <w:sz w:val="16"/>
          <w:szCs w:val="16"/>
        </w:rPr>
        <w:t xml:space="preserve"> výstavbu nových bytů a domů. </w:t>
      </w:r>
    </w:p>
    <w:p w14:paraId="4498651E" w14:textId="77777777" w:rsidR="002E03C6" w:rsidRDefault="002E03C6" w:rsidP="002E03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6C150E" w14:textId="77777777" w:rsidR="002E03C6" w:rsidRDefault="002E03C6" w:rsidP="002E03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E03C6" w:rsidSect="004C0A8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C3C38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3B3D"/>
    <w:multiLevelType w:val="hybridMultilevel"/>
    <w:tmpl w:val="C78AA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27BFF"/>
    <w:multiLevelType w:val="hybridMultilevel"/>
    <w:tmpl w:val="8CC29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24764"/>
    <w:rsid w:val="0002687F"/>
    <w:rsid w:val="00036B56"/>
    <w:rsid w:val="00051163"/>
    <w:rsid w:val="0007250E"/>
    <w:rsid w:val="00091E8A"/>
    <w:rsid w:val="000C1853"/>
    <w:rsid w:val="000C61A9"/>
    <w:rsid w:val="00136B59"/>
    <w:rsid w:val="00176DB2"/>
    <w:rsid w:val="00182A74"/>
    <w:rsid w:val="001A6A63"/>
    <w:rsid w:val="001F5F25"/>
    <w:rsid w:val="002C100F"/>
    <w:rsid w:val="002C5688"/>
    <w:rsid w:val="002D082D"/>
    <w:rsid w:val="002E03C6"/>
    <w:rsid w:val="003064C1"/>
    <w:rsid w:val="003115D8"/>
    <w:rsid w:val="00354906"/>
    <w:rsid w:val="00364E18"/>
    <w:rsid w:val="00390D9B"/>
    <w:rsid w:val="003C4264"/>
    <w:rsid w:val="003E4FDA"/>
    <w:rsid w:val="003F6D9A"/>
    <w:rsid w:val="0049638C"/>
    <w:rsid w:val="004B31B4"/>
    <w:rsid w:val="004C0A81"/>
    <w:rsid w:val="004D3EFE"/>
    <w:rsid w:val="004D718C"/>
    <w:rsid w:val="004F4589"/>
    <w:rsid w:val="00567B05"/>
    <w:rsid w:val="005E03CB"/>
    <w:rsid w:val="005E2124"/>
    <w:rsid w:val="00605851"/>
    <w:rsid w:val="00612D3F"/>
    <w:rsid w:val="00615AC2"/>
    <w:rsid w:val="006362FC"/>
    <w:rsid w:val="006474BF"/>
    <w:rsid w:val="00652F2B"/>
    <w:rsid w:val="006650D5"/>
    <w:rsid w:val="00670D2D"/>
    <w:rsid w:val="006C522D"/>
    <w:rsid w:val="006D42D0"/>
    <w:rsid w:val="006E6B4E"/>
    <w:rsid w:val="00707522"/>
    <w:rsid w:val="00713ABB"/>
    <w:rsid w:val="0072485F"/>
    <w:rsid w:val="0076032C"/>
    <w:rsid w:val="00796713"/>
    <w:rsid w:val="007B6D27"/>
    <w:rsid w:val="007F0C40"/>
    <w:rsid w:val="00800E1E"/>
    <w:rsid w:val="0080509D"/>
    <w:rsid w:val="00807C6F"/>
    <w:rsid w:val="00814ED9"/>
    <w:rsid w:val="00847DB4"/>
    <w:rsid w:val="008722DF"/>
    <w:rsid w:val="008774E5"/>
    <w:rsid w:val="008B3EE2"/>
    <w:rsid w:val="008B7191"/>
    <w:rsid w:val="008D59B4"/>
    <w:rsid w:val="008E2D03"/>
    <w:rsid w:val="008E7BEB"/>
    <w:rsid w:val="008F6F10"/>
    <w:rsid w:val="009033B7"/>
    <w:rsid w:val="0090691F"/>
    <w:rsid w:val="00911318"/>
    <w:rsid w:val="00913C66"/>
    <w:rsid w:val="009334FD"/>
    <w:rsid w:val="00947342"/>
    <w:rsid w:val="00947B21"/>
    <w:rsid w:val="00951E2C"/>
    <w:rsid w:val="00966597"/>
    <w:rsid w:val="00967406"/>
    <w:rsid w:val="00974F08"/>
    <w:rsid w:val="00996D20"/>
    <w:rsid w:val="009C2B16"/>
    <w:rsid w:val="009D1179"/>
    <w:rsid w:val="00A638F7"/>
    <w:rsid w:val="00AA0FAC"/>
    <w:rsid w:val="00AC063D"/>
    <w:rsid w:val="00B15BD1"/>
    <w:rsid w:val="00B27B22"/>
    <w:rsid w:val="00B41391"/>
    <w:rsid w:val="00B4172D"/>
    <w:rsid w:val="00B824C4"/>
    <w:rsid w:val="00B97F83"/>
    <w:rsid w:val="00BB55B5"/>
    <w:rsid w:val="00C1171C"/>
    <w:rsid w:val="00C17107"/>
    <w:rsid w:val="00C3154B"/>
    <w:rsid w:val="00C350E2"/>
    <w:rsid w:val="00C50EB7"/>
    <w:rsid w:val="00C67736"/>
    <w:rsid w:val="00C802DC"/>
    <w:rsid w:val="00C812FA"/>
    <w:rsid w:val="00CD1F47"/>
    <w:rsid w:val="00D00528"/>
    <w:rsid w:val="00D2266B"/>
    <w:rsid w:val="00D63698"/>
    <w:rsid w:val="00D6582D"/>
    <w:rsid w:val="00DB0093"/>
    <w:rsid w:val="00DD2953"/>
    <w:rsid w:val="00DE54DB"/>
    <w:rsid w:val="00DE7F8E"/>
    <w:rsid w:val="00E03EA9"/>
    <w:rsid w:val="00E13370"/>
    <w:rsid w:val="00E16198"/>
    <w:rsid w:val="00E6746A"/>
    <w:rsid w:val="00EE750D"/>
    <w:rsid w:val="00EF7ED8"/>
    <w:rsid w:val="00F15BF5"/>
    <w:rsid w:val="00F218BB"/>
    <w:rsid w:val="00F254AD"/>
    <w:rsid w:val="00F31011"/>
    <w:rsid w:val="00F42723"/>
    <w:rsid w:val="00FA039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F2D5"/>
  <w15:docId w15:val="{9670B913-915A-4E77-870C-C73F94E3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2E03C6"/>
    <w:rPr>
      <w:b/>
      <w:bCs/>
    </w:rPr>
  </w:style>
  <w:style w:type="paragraph" w:styleId="Seznamsodrkami">
    <w:name w:val="List Bullet"/>
    <w:basedOn w:val="Normln"/>
    <w:uiPriority w:val="99"/>
    <w:unhideWhenUsed/>
    <w:rsid w:val="001A6A63"/>
    <w:pPr>
      <w:numPr>
        <w:numId w:val="2"/>
      </w:numPr>
      <w:contextualSpacing/>
    </w:pPr>
  </w:style>
  <w:style w:type="paragraph" w:styleId="Odstavecseseznamem">
    <w:name w:val="List Paragraph"/>
    <w:basedOn w:val="Normln"/>
    <w:uiPriority w:val="34"/>
    <w:qFormat/>
    <w:rsid w:val="0080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s.cz/RDS/_PDFDoc_2014/TZ-SPS-12-8-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11A-5948-43C2-A8CF-29C2EEA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29</cp:revision>
  <cp:lastPrinted>2014-09-05T11:40:00Z</cp:lastPrinted>
  <dcterms:created xsi:type="dcterms:W3CDTF">2014-07-30T10:41:00Z</dcterms:created>
  <dcterms:modified xsi:type="dcterms:W3CDTF">2014-09-08T12:45:00Z</dcterms:modified>
</cp:coreProperties>
</file>