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2E7AB3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Nové byty si pořizují </w:t>
      </w:r>
      <w:r w:rsidR="00426010">
        <w:rPr>
          <w:rFonts w:ascii="Arial Black" w:hAnsi="Arial Black"/>
          <w:color w:val="000000" w:themeColor="text1"/>
          <w:sz w:val="28"/>
          <w:szCs w:val="28"/>
        </w:rPr>
        <w:t xml:space="preserve">stále </w:t>
      </w:r>
      <w:r>
        <w:rPr>
          <w:rFonts w:ascii="Arial Black" w:hAnsi="Arial Black"/>
          <w:color w:val="000000" w:themeColor="text1"/>
          <w:sz w:val="28"/>
          <w:szCs w:val="28"/>
        </w:rPr>
        <w:t>mladší lidé. Mohou za to rekordně levné hypotéky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2E7AB3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1C3FD8">
        <w:rPr>
          <w:rFonts w:ascii="Arial" w:hAnsi="Arial" w:cs="Arial"/>
          <w:i/>
          <w:lang w:eastAsia="cs-CZ"/>
        </w:rPr>
        <w:t>2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286F86">
        <w:rPr>
          <w:rFonts w:ascii="Arial" w:hAnsi="Arial" w:cs="Arial"/>
          <w:i/>
          <w:lang w:eastAsia="cs-CZ"/>
        </w:rPr>
        <w:t>8</w:t>
      </w:r>
      <w:r w:rsidR="00284AC5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2E7AB3">
        <w:rPr>
          <w:rFonts w:ascii="Arial" w:hAnsi="Arial" w:cs="Arial"/>
          <w:i/>
          <w:lang w:eastAsia="cs-CZ"/>
        </w:rPr>
        <w:t xml:space="preserve"> </w:t>
      </w:r>
      <w:r w:rsidR="002E7AB3">
        <w:rPr>
          <w:rFonts w:ascii="Arial" w:hAnsi="Arial" w:cs="Arial"/>
          <w:b/>
          <w:lang w:eastAsia="cs-CZ"/>
        </w:rPr>
        <w:t>Nové byty si v</w:t>
      </w:r>
      <w:r w:rsidR="00284AC5">
        <w:rPr>
          <w:rFonts w:ascii="Arial" w:hAnsi="Arial" w:cs="Arial"/>
          <w:b/>
          <w:lang w:eastAsia="cs-CZ"/>
        </w:rPr>
        <w:t> </w:t>
      </w:r>
      <w:r w:rsidR="002E7AB3">
        <w:rPr>
          <w:rFonts w:ascii="Arial" w:hAnsi="Arial" w:cs="Arial"/>
          <w:b/>
          <w:lang w:eastAsia="cs-CZ"/>
        </w:rPr>
        <w:t>poslední</w:t>
      </w:r>
      <w:r w:rsidR="00284AC5">
        <w:rPr>
          <w:rFonts w:ascii="Arial" w:hAnsi="Arial" w:cs="Arial"/>
          <w:b/>
          <w:lang w:eastAsia="cs-CZ"/>
        </w:rPr>
        <w:t>m roce</w:t>
      </w:r>
      <w:r w:rsidR="002E7AB3">
        <w:rPr>
          <w:rFonts w:ascii="Arial" w:hAnsi="Arial" w:cs="Arial"/>
          <w:b/>
          <w:lang w:eastAsia="cs-CZ"/>
        </w:rPr>
        <w:t xml:space="preserve"> pořizují</w:t>
      </w:r>
      <w:r w:rsidR="00426010">
        <w:rPr>
          <w:rFonts w:ascii="Arial" w:hAnsi="Arial" w:cs="Arial"/>
          <w:b/>
          <w:lang w:eastAsia="cs-CZ"/>
        </w:rPr>
        <w:t xml:space="preserve"> stále</w:t>
      </w:r>
      <w:bookmarkStart w:id="0" w:name="_GoBack"/>
      <w:bookmarkEnd w:id="0"/>
      <w:r w:rsidR="002E7AB3">
        <w:rPr>
          <w:rFonts w:ascii="Arial" w:hAnsi="Arial" w:cs="Arial"/>
          <w:b/>
          <w:lang w:eastAsia="cs-CZ"/>
        </w:rPr>
        <w:t xml:space="preserve"> mladší lidé. Vyplývá to z</w:t>
      </w:r>
      <w:r w:rsidR="00A9283F">
        <w:rPr>
          <w:rFonts w:ascii="Arial" w:hAnsi="Arial" w:cs="Arial"/>
          <w:b/>
          <w:lang w:eastAsia="cs-CZ"/>
        </w:rPr>
        <w:t> </w:t>
      </w:r>
      <w:r w:rsidR="002E7AB3">
        <w:rPr>
          <w:rFonts w:ascii="Arial" w:hAnsi="Arial" w:cs="Arial"/>
          <w:b/>
          <w:lang w:eastAsia="cs-CZ"/>
        </w:rPr>
        <w:t>kontinuální</w:t>
      </w:r>
      <w:r w:rsidR="00A9283F">
        <w:rPr>
          <w:rFonts w:ascii="Arial" w:hAnsi="Arial" w:cs="Arial"/>
          <w:b/>
          <w:lang w:eastAsia="cs-CZ"/>
        </w:rPr>
        <w:t xml:space="preserve">ho výzkumu </w:t>
      </w:r>
      <w:r w:rsidR="002E7AB3">
        <w:rPr>
          <w:rFonts w:ascii="Arial" w:hAnsi="Arial" w:cs="Arial"/>
          <w:b/>
          <w:lang w:eastAsia="cs-CZ"/>
        </w:rPr>
        <w:t xml:space="preserve">společnosti </w:t>
      </w:r>
      <w:proofErr w:type="spellStart"/>
      <w:r w:rsidR="002E7AB3">
        <w:rPr>
          <w:rFonts w:ascii="Arial" w:hAnsi="Arial" w:cs="Arial"/>
          <w:b/>
          <w:lang w:eastAsia="cs-CZ"/>
        </w:rPr>
        <w:t>Central</w:t>
      </w:r>
      <w:proofErr w:type="spellEnd"/>
      <w:r w:rsidR="002E7AB3">
        <w:rPr>
          <w:rFonts w:ascii="Arial" w:hAnsi="Arial" w:cs="Arial"/>
          <w:b/>
          <w:lang w:eastAsia="cs-CZ"/>
        </w:rPr>
        <w:t xml:space="preserve"> Group, která je největším rezidenčním developerem v zemi. Data zahrnují veškeré uskutečněné prodeje, což je jen </w:t>
      </w:r>
      <w:r w:rsidR="00284AC5">
        <w:rPr>
          <w:rFonts w:ascii="Arial" w:hAnsi="Arial" w:cs="Arial"/>
          <w:b/>
          <w:lang w:eastAsia="cs-CZ"/>
        </w:rPr>
        <w:t xml:space="preserve">za loňský rok </w:t>
      </w:r>
      <w:r w:rsidR="002E7AB3">
        <w:rPr>
          <w:rFonts w:ascii="Arial" w:hAnsi="Arial" w:cs="Arial"/>
          <w:b/>
          <w:lang w:eastAsia="cs-CZ"/>
        </w:rPr>
        <w:t>více než 1000 nov</w:t>
      </w:r>
      <w:r w:rsidR="00284AC5">
        <w:rPr>
          <w:rFonts w:ascii="Arial" w:hAnsi="Arial" w:cs="Arial"/>
          <w:b/>
          <w:lang w:eastAsia="cs-CZ"/>
        </w:rPr>
        <w:t xml:space="preserve">ě prodaných </w:t>
      </w:r>
      <w:r w:rsidR="00FD1CF2">
        <w:rPr>
          <w:rFonts w:ascii="Arial" w:hAnsi="Arial" w:cs="Arial"/>
          <w:b/>
          <w:lang w:eastAsia="cs-CZ"/>
        </w:rPr>
        <w:t xml:space="preserve">bytů, tedy šestina pražského trhu, a za 1. pololetí letošního roku dalších </w:t>
      </w:r>
      <w:r w:rsidR="007E2443">
        <w:rPr>
          <w:rFonts w:ascii="Arial" w:hAnsi="Arial" w:cs="Arial"/>
          <w:b/>
          <w:lang w:eastAsia="cs-CZ"/>
        </w:rPr>
        <w:t xml:space="preserve">více než 700 </w:t>
      </w:r>
      <w:r w:rsidR="00FD1CF2">
        <w:rPr>
          <w:rFonts w:ascii="Arial" w:hAnsi="Arial" w:cs="Arial"/>
          <w:b/>
          <w:lang w:eastAsia="cs-CZ"/>
        </w:rPr>
        <w:t>bytů</w:t>
      </w:r>
      <w:r w:rsidR="002E7AB3">
        <w:rPr>
          <w:rFonts w:ascii="Arial" w:hAnsi="Arial" w:cs="Arial"/>
          <w:b/>
          <w:lang w:eastAsia="cs-CZ"/>
        </w:rPr>
        <w:t>. Důvodem poklesu věku kupujících jsou především rekordně levné hypotéky</w:t>
      </w:r>
      <w:r w:rsidR="00FB1D6E">
        <w:rPr>
          <w:rFonts w:ascii="Arial" w:hAnsi="Arial" w:cs="Arial"/>
          <w:b/>
          <w:lang w:eastAsia="cs-CZ"/>
        </w:rPr>
        <w:t>. Díky nim si nyní nové bydlení mohou dovolit daleko širší vrstvy</w:t>
      </w:r>
      <w:r w:rsidR="00A9283F">
        <w:rPr>
          <w:rFonts w:ascii="Arial" w:hAnsi="Arial" w:cs="Arial"/>
          <w:b/>
          <w:lang w:eastAsia="cs-CZ"/>
        </w:rPr>
        <w:t xml:space="preserve"> a samozřejmě i mladší lidé</w:t>
      </w:r>
      <w:r w:rsidR="00FB1D6E">
        <w:rPr>
          <w:rFonts w:ascii="Arial" w:hAnsi="Arial" w:cs="Arial"/>
          <w:b/>
          <w:lang w:eastAsia="cs-CZ"/>
        </w:rPr>
        <w:t>.</w:t>
      </w:r>
    </w:p>
    <w:p w:rsidR="00284AC5" w:rsidRDefault="00284AC5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284AC5" w:rsidRPr="00284AC5" w:rsidRDefault="00284AC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uplynulých letech byl průměrný věk těch, kdo si kupují byt</w:t>
      </w:r>
      <w:r w:rsidR="00FB1D6E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poměrně stabilní. Pohyboval se dlouhodobě nad hranicí 40 let. Například v roce 2009, kdy byl nejvyšší, dosáhl u mužů 44 let a v prvním pololetí </w:t>
      </w:r>
      <w:r w:rsidR="00FB1D6E">
        <w:rPr>
          <w:rFonts w:ascii="Arial" w:hAnsi="Arial" w:cs="Arial"/>
          <w:lang w:eastAsia="cs-CZ"/>
        </w:rPr>
        <w:t>toho roku</w:t>
      </w:r>
      <w:r>
        <w:rPr>
          <w:rFonts w:ascii="Arial" w:hAnsi="Arial" w:cs="Arial"/>
          <w:lang w:eastAsia="cs-CZ"/>
        </w:rPr>
        <w:t xml:space="preserve"> dokonce 46 let. Vloni pak poprvé klesl pod hranici 40 let. U mužů dosáhl 38 let a u žen 39 let. </w:t>
      </w:r>
      <w:r w:rsidRPr="00767889">
        <w:rPr>
          <w:rFonts w:ascii="Arial" w:hAnsi="Arial" w:cs="Arial"/>
          <w:i/>
          <w:lang w:eastAsia="cs-CZ"/>
        </w:rPr>
        <w:t xml:space="preserve">„Důvodem jsou především </w:t>
      </w:r>
      <w:proofErr w:type="spellStart"/>
      <w:r w:rsidRPr="00767889">
        <w:rPr>
          <w:rFonts w:ascii="Arial" w:hAnsi="Arial" w:cs="Arial"/>
          <w:i/>
          <w:lang w:eastAsia="cs-CZ"/>
        </w:rPr>
        <w:t>superlevné</w:t>
      </w:r>
      <w:proofErr w:type="spellEnd"/>
      <w:r w:rsidRPr="00767889">
        <w:rPr>
          <w:rFonts w:ascii="Arial" w:hAnsi="Arial" w:cs="Arial"/>
          <w:i/>
          <w:lang w:eastAsia="cs-CZ"/>
        </w:rPr>
        <w:t xml:space="preserve"> hypotéky, které umožňují dosáhnout na nový byt i lidem, pro které byly dříve úvah</w:t>
      </w:r>
      <w:r w:rsidR="00767889" w:rsidRPr="00767889">
        <w:rPr>
          <w:rFonts w:ascii="Arial" w:hAnsi="Arial" w:cs="Arial"/>
          <w:i/>
          <w:lang w:eastAsia="cs-CZ"/>
        </w:rPr>
        <w:t>y o vlastním bydlení nedostupné,“</w:t>
      </w:r>
      <w:r w:rsidR="00767889">
        <w:rPr>
          <w:rFonts w:ascii="Arial" w:hAnsi="Arial" w:cs="Arial"/>
          <w:lang w:eastAsia="cs-CZ"/>
        </w:rPr>
        <w:t xml:space="preserve"> vysvětlil šéf </w:t>
      </w:r>
      <w:proofErr w:type="spellStart"/>
      <w:r w:rsidR="00767889">
        <w:rPr>
          <w:rFonts w:ascii="Arial" w:hAnsi="Arial" w:cs="Arial"/>
          <w:lang w:eastAsia="cs-CZ"/>
        </w:rPr>
        <w:t>Central</w:t>
      </w:r>
      <w:proofErr w:type="spellEnd"/>
      <w:r w:rsidR="00767889">
        <w:rPr>
          <w:rFonts w:ascii="Arial" w:hAnsi="Arial" w:cs="Arial"/>
          <w:lang w:eastAsia="cs-CZ"/>
        </w:rPr>
        <w:t xml:space="preserve"> Group Dušan Kunovský. Obchodníci se tak setkávají se stále mladšími lidmi, kteří na nákup nového bytu díky levnému financování dosáhnou. Jejich preference ohledně bydlení se také mění.</w:t>
      </w:r>
    </w:p>
    <w:p w:rsidR="00645D0F" w:rsidRPr="00767889" w:rsidRDefault="00645D0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262B7" w:rsidRDefault="0076788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67889">
        <w:rPr>
          <w:rFonts w:ascii="Arial" w:hAnsi="Arial" w:cs="Arial"/>
          <w:lang w:eastAsia="cs-CZ"/>
        </w:rPr>
        <w:t>Dnešní mladí lidé</w:t>
      </w:r>
      <w:r w:rsidR="0057032C">
        <w:rPr>
          <w:rFonts w:ascii="Arial" w:hAnsi="Arial" w:cs="Arial"/>
          <w:lang w:eastAsia="cs-CZ"/>
        </w:rPr>
        <w:t xml:space="preserve"> do </w:t>
      </w:r>
      <w:r w:rsidR="00600AE4">
        <w:rPr>
          <w:rFonts w:ascii="Arial" w:hAnsi="Arial" w:cs="Arial"/>
          <w:lang w:eastAsia="cs-CZ"/>
        </w:rPr>
        <w:t>30</w:t>
      </w:r>
      <w:r w:rsidR="0057032C">
        <w:rPr>
          <w:rFonts w:ascii="Arial" w:hAnsi="Arial" w:cs="Arial"/>
          <w:lang w:eastAsia="cs-CZ"/>
        </w:rPr>
        <w:t xml:space="preserve"> let</w:t>
      </w:r>
      <w:r w:rsidRPr="00767889">
        <w:rPr>
          <w:rFonts w:ascii="Arial" w:hAnsi="Arial" w:cs="Arial"/>
          <w:lang w:eastAsia="cs-CZ"/>
        </w:rPr>
        <w:t xml:space="preserve">, alespoň ti, kteří </w:t>
      </w:r>
      <w:r w:rsidR="004C624C">
        <w:rPr>
          <w:rFonts w:ascii="Arial" w:hAnsi="Arial" w:cs="Arial"/>
          <w:lang w:eastAsia="cs-CZ"/>
        </w:rPr>
        <w:t>měli zájem o koupi</w:t>
      </w:r>
      <w:r>
        <w:rPr>
          <w:rFonts w:ascii="Arial" w:hAnsi="Arial" w:cs="Arial"/>
          <w:lang w:eastAsia="cs-CZ"/>
        </w:rPr>
        <w:t xml:space="preserve"> byt</w:t>
      </w:r>
      <w:r w:rsidR="004C624C">
        <w:rPr>
          <w:rFonts w:ascii="Arial" w:hAnsi="Arial" w:cs="Arial"/>
          <w:lang w:eastAsia="cs-CZ"/>
        </w:rPr>
        <w:t>u</w:t>
      </w:r>
      <w:r>
        <w:rPr>
          <w:rFonts w:ascii="Arial" w:hAnsi="Arial" w:cs="Arial"/>
          <w:lang w:eastAsia="cs-CZ"/>
        </w:rPr>
        <w:t xml:space="preserve"> v </w:t>
      </w:r>
      <w:proofErr w:type="spellStart"/>
      <w:proofErr w:type="gramStart"/>
      <w:r>
        <w:rPr>
          <w:rFonts w:ascii="Arial" w:hAnsi="Arial" w:cs="Arial"/>
          <w:lang w:eastAsia="cs-CZ"/>
        </w:rPr>
        <w:t>Central</w:t>
      </w:r>
      <w:proofErr w:type="spellEnd"/>
      <w:proofErr w:type="gramEnd"/>
      <w:r>
        <w:rPr>
          <w:rFonts w:ascii="Arial" w:hAnsi="Arial" w:cs="Arial"/>
          <w:lang w:eastAsia="cs-CZ"/>
        </w:rPr>
        <w:t xml:space="preserve"> Group a </w:t>
      </w:r>
      <w:r w:rsidRPr="00767889">
        <w:rPr>
          <w:rFonts w:ascii="Arial" w:hAnsi="Arial" w:cs="Arial"/>
          <w:lang w:eastAsia="cs-CZ"/>
        </w:rPr>
        <w:t xml:space="preserve">odpověděli </w:t>
      </w:r>
      <w:r>
        <w:rPr>
          <w:rFonts w:ascii="Arial" w:hAnsi="Arial" w:cs="Arial"/>
          <w:lang w:eastAsia="cs-CZ"/>
        </w:rPr>
        <w:t>na elektronický dotazník</w:t>
      </w:r>
      <w:r w:rsidR="009262B7">
        <w:rPr>
          <w:rFonts w:ascii="Arial" w:hAnsi="Arial" w:cs="Arial"/>
          <w:lang w:eastAsia="cs-CZ"/>
        </w:rPr>
        <w:t xml:space="preserve">, mají také mírně odlišné preference oproti předchozím generacím. Pro mladé lidi je </w:t>
      </w:r>
      <w:r w:rsidR="0057032C">
        <w:rPr>
          <w:rFonts w:ascii="Arial" w:hAnsi="Arial" w:cs="Arial"/>
          <w:lang w:eastAsia="cs-CZ"/>
        </w:rPr>
        <w:t xml:space="preserve">stále </w:t>
      </w:r>
      <w:r w:rsidR="009262B7">
        <w:rPr>
          <w:rFonts w:ascii="Arial" w:hAnsi="Arial" w:cs="Arial"/>
          <w:lang w:eastAsia="cs-CZ"/>
        </w:rPr>
        <w:t>prioritní lokalita</w:t>
      </w:r>
      <w:r w:rsidR="0057032C">
        <w:rPr>
          <w:rFonts w:ascii="Arial" w:hAnsi="Arial" w:cs="Arial"/>
          <w:lang w:eastAsia="cs-CZ"/>
        </w:rPr>
        <w:t>. D</w:t>
      </w:r>
      <w:r w:rsidR="009262B7">
        <w:rPr>
          <w:rFonts w:ascii="Arial" w:hAnsi="Arial" w:cs="Arial"/>
          <w:lang w:eastAsia="cs-CZ"/>
        </w:rPr>
        <w:t>aleko více nabírá na důrazu poměr dosažené kvality bytu za optimální cenu. Dnešní kupující zdaleka nechtějí ten nejlevnější byt, ale chtějí ve své předem určené cenové relaci najít to nejkvalitnější</w:t>
      </w:r>
      <w:r w:rsidR="0057032C">
        <w:rPr>
          <w:rFonts w:ascii="Arial" w:hAnsi="Arial" w:cs="Arial"/>
          <w:lang w:eastAsia="cs-CZ"/>
        </w:rPr>
        <w:t xml:space="preserve"> bydlení</w:t>
      </w:r>
      <w:r w:rsidR="009262B7">
        <w:rPr>
          <w:rFonts w:ascii="Arial" w:hAnsi="Arial" w:cs="Arial"/>
          <w:lang w:eastAsia="cs-CZ"/>
        </w:rPr>
        <w:t xml:space="preserve">. </w:t>
      </w:r>
    </w:p>
    <w:p w:rsidR="009262B7" w:rsidRDefault="009262B7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9283F" w:rsidRDefault="00A9283F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9262B7" w:rsidRDefault="009262B7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9262B7">
        <w:rPr>
          <w:rFonts w:ascii="Arial" w:hAnsi="Arial" w:cs="Arial"/>
          <w:b/>
          <w:lang w:eastAsia="cs-CZ"/>
        </w:rPr>
        <w:t xml:space="preserve">Lokalita je základ, mladí </w:t>
      </w:r>
      <w:r w:rsidR="005E4C75">
        <w:rPr>
          <w:rFonts w:ascii="Arial" w:hAnsi="Arial" w:cs="Arial"/>
          <w:b/>
          <w:lang w:eastAsia="cs-CZ"/>
        </w:rPr>
        <w:t>chtějí mít</w:t>
      </w:r>
      <w:r w:rsidRPr="009262B7">
        <w:rPr>
          <w:rFonts w:ascii="Arial" w:hAnsi="Arial" w:cs="Arial"/>
          <w:b/>
          <w:lang w:eastAsia="cs-CZ"/>
        </w:rPr>
        <w:t xml:space="preserve"> </w:t>
      </w:r>
      <w:r w:rsidR="00600AE4">
        <w:rPr>
          <w:rFonts w:ascii="Arial" w:hAnsi="Arial" w:cs="Arial"/>
          <w:b/>
          <w:lang w:eastAsia="cs-CZ"/>
        </w:rPr>
        <w:t xml:space="preserve">blízko do </w:t>
      </w:r>
      <w:r w:rsidRPr="009262B7">
        <w:rPr>
          <w:rFonts w:ascii="Arial" w:hAnsi="Arial" w:cs="Arial"/>
          <w:b/>
          <w:lang w:eastAsia="cs-CZ"/>
        </w:rPr>
        <w:t>centr</w:t>
      </w:r>
      <w:r w:rsidR="00600AE4">
        <w:rPr>
          <w:rFonts w:ascii="Arial" w:hAnsi="Arial" w:cs="Arial"/>
          <w:b/>
          <w:lang w:eastAsia="cs-CZ"/>
        </w:rPr>
        <w:t>a</w:t>
      </w:r>
    </w:p>
    <w:p w:rsidR="00A9283F" w:rsidRPr="009262B7" w:rsidRDefault="00A9283F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9262B7" w:rsidRDefault="009262B7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Jsou také daleko ochotnější se stěhovat, než jejich rodiče. Pokud vezmeme v úvahu jen </w:t>
      </w:r>
      <w:r w:rsidR="0057032C">
        <w:rPr>
          <w:rFonts w:ascii="Arial" w:hAnsi="Arial" w:cs="Arial"/>
          <w:lang w:eastAsia="cs-CZ"/>
        </w:rPr>
        <w:t>stávající obyvatele P</w:t>
      </w:r>
      <w:r>
        <w:rPr>
          <w:rFonts w:ascii="Arial" w:hAnsi="Arial" w:cs="Arial"/>
          <w:lang w:eastAsia="cs-CZ"/>
        </w:rPr>
        <w:t>rahy, kteří hledají nový byt, pak je lokalita při výběru jedním z nejdůležitějších parametrů jak pro mladé, tak i pro starší kupující. Pro každého z nich ale jinak. Zatímco starší lidé hledají nové bydlení převážně v té své lokalitě, kde jsou zvyklí</w:t>
      </w:r>
      <w:r w:rsidR="00FB1D6E">
        <w:rPr>
          <w:rFonts w:ascii="Arial" w:hAnsi="Arial" w:cs="Arial"/>
          <w:lang w:eastAsia="cs-CZ"/>
        </w:rPr>
        <w:t xml:space="preserve"> a vázaní například školami dětí</w:t>
      </w:r>
      <w:r>
        <w:rPr>
          <w:rFonts w:ascii="Arial" w:hAnsi="Arial" w:cs="Arial"/>
          <w:lang w:eastAsia="cs-CZ"/>
        </w:rPr>
        <w:t xml:space="preserve">, mladí se klidně ze své čtvrti přestěhují. Preferují </w:t>
      </w:r>
      <w:r w:rsidR="00FB1D6E">
        <w:rPr>
          <w:rFonts w:ascii="Arial" w:hAnsi="Arial" w:cs="Arial"/>
          <w:lang w:eastAsia="cs-CZ"/>
        </w:rPr>
        <w:t>pak</w:t>
      </w:r>
      <w:r>
        <w:rPr>
          <w:rFonts w:ascii="Arial" w:hAnsi="Arial" w:cs="Arial"/>
          <w:lang w:eastAsia="cs-CZ"/>
        </w:rPr>
        <w:t xml:space="preserve"> oblasti blíže centru města a tzv. módní čtvrti.</w:t>
      </w:r>
    </w:p>
    <w:p w:rsidR="00600AE4" w:rsidRDefault="00600AE4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00AE4" w:rsidRDefault="00600AE4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Vůbec nejžádanějšími lokalitami mezi lidmi do 30 let jsou Žižkov, Smíchov a Dejvice. Velmi žádaný je také prstenec čtvrtí kolem centra města a pak logicky oblasti kolem stanic metra. Naopak samotné centrum mladí lidé ve výzkumu jako místo, kde by chtěli koupit byt, neoznačili vůbec. Důvodem je pravděpodobně fakt, že šlo o skutečné zájemce o bydlení, kteří již měli reálnou představu o cenách na trhu, a proto nehledali byt přímo v centru, kde je nabídka bytů malá a ceny vysoké.</w:t>
      </w:r>
    </w:p>
    <w:p w:rsidR="009262B7" w:rsidRDefault="009262B7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7032C" w:rsidRDefault="009262B7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 xml:space="preserve">Obecně </w:t>
      </w:r>
      <w:r w:rsidR="0057032C">
        <w:rPr>
          <w:rFonts w:ascii="Arial" w:hAnsi="Arial" w:cs="Arial"/>
          <w:lang w:eastAsia="cs-CZ"/>
        </w:rPr>
        <w:t xml:space="preserve">i nadále </w:t>
      </w:r>
      <w:r>
        <w:rPr>
          <w:rFonts w:ascii="Arial" w:hAnsi="Arial" w:cs="Arial"/>
          <w:lang w:eastAsia="cs-CZ"/>
        </w:rPr>
        <w:t>platí, že mezi mladšími respondenty je daleko větší procento těch, kteří mají původní bydliště mimo Prahu a do metropo</w:t>
      </w:r>
      <w:r w:rsidR="0057032C">
        <w:rPr>
          <w:rFonts w:ascii="Arial" w:hAnsi="Arial" w:cs="Arial"/>
          <w:lang w:eastAsia="cs-CZ"/>
        </w:rPr>
        <w:t>le se teprve stěhují. Často jde o absolventy vysokých škol, kteří v Praze nalezli po skončení studia práci a hledají si také první bydlení. Dnešní mladí lidé jsou často poměrně nároční a hledají vysokou kvalitu bydlení, kterou splňují právě nové developerské projekty. Ne každý si ale v</w:t>
      </w:r>
      <w:r w:rsidR="00982CD0">
        <w:rPr>
          <w:rFonts w:ascii="Arial" w:hAnsi="Arial" w:cs="Arial"/>
          <w:lang w:eastAsia="cs-CZ"/>
        </w:rPr>
        <w:t>e</w:t>
      </w:r>
      <w:r w:rsidR="0057032C">
        <w:rPr>
          <w:rFonts w:ascii="Arial" w:hAnsi="Arial" w:cs="Arial"/>
          <w:lang w:eastAsia="cs-CZ"/>
        </w:rPr>
        <w:t> 25</w:t>
      </w:r>
      <w:r w:rsidR="004C624C">
        <w:rPr>
          <w:rFonts w:ascii="Arial" w:hAnsi="Arial" w:cs="Arial"/>
          <w:lang w:eastAsia="cs-CZ"/>
        </w:rPr>
        <w:t xml:space="preserve"> nebo 30</w:t>
      </w:r>
      <w:r w:rsidR="0057032C">
        <w:rPr>
          <w:rFonts w:ascii="Arial" w:hAnsi="Arial" w:cs="Arial"/>
          <w:lang w:eastAsia="cs-CZ"/>
        </w:rPr>
        <w:t xml:space="preserve"> letech může dovolit koupit nový byt a to je také důvodem, proč tak roste poptávka po investičních bytech. Především studenti a čerství absolventi, kteří nově v Praze nalezli práci, jsou totiž nejčastěji nájemníky těchto bytů.</w:t>
      </w:r>
    </w:p>
    <w:p w:rsidR="0057032C" w:rsidRDefault="0057032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E7AB3" w:rsidRDefault="0057032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tomuto trendu vychází vstříc a ve vhodných lokalitách, které mladí lidé preferují, jako je Žižkov, Vysočany nebo Vršovice, zvažuje upravit některý z budovaných projektů s vysokým počtem dispozičně vhodných bytů právě pro investiční bydlení s garantovaným výnosem. Dům určený </w:t>
      </w:r>
      <w:r w:rsidR="003210B1">
        <w:rPr>
          <w:rFonts w:ascii="Arial" w:hAnsi="Arial" w:cs="Arial"/>
          <w:lang w:eastAsia="cs-CZ"/>
        </w:rPr>
        <w:t xml:space="preserve">hlavně </w:t>
      </w:r>
      <w:r>
        <w:rPr>
          <w:rFonts w:ascii="Arial" w:hAnsi="Arial" w:cs="Arial"/>
          <w:lang w:eastAsia="cs-CZ"/>
        </w:rPr>
        <w:t>k pronájmu by měl mít mladistvý design a nabídnout například i fitness centrum, recepci</w:t>
      </w:r>
      <w:r w:rsidR="0047406F">
        <w:rPr>
          <w:rFonts w:ascii="Arial" w:hAnsi="Arial" w:cs="Arial"/>
          <w:lang w:eastAsia="cs-CZ"/>
        </w:rPr>
        <w:t>, základní vybavení v ceně</w:t>
      </w:r>
      <w:r>
        <w:rPr>
          <w:rFonts w:ascii="Arial" w:hAnsi="Arial" w:cs="Arial"/>
          <w:lang w:eastAsia="cs-CZ"/>
        </w:rPr>
        <w:t xml:space="preserve"> apod. </w:t>
      </w:r>
    </w:p>
    <w:p w:rsidR="0057032C" w:rsidRDefault="0057032C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 </w:t>
      </w:r>
    </w:p>
    <w:p w:rsidR="00744AAE" w:rsidRPr="000D3DC9" w:rsidRDefault="00426010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47pt">
            <v:imagedata r:id="rId9" o:title="mapka"/>
          </v:shape>
        </w:pict>
      </w:r>
    </w:p>
    <w:p w:rsidR="0047406F" w:rsidRDefault="0047406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9283F" w:rsidRDefault="00A9283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2049B" w:rsidRDefault="00D2049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B09DB" w:rsidRDefault="006B09D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A4" w:rsidRDefault="007C4CA4" w:rsidP="00655B14">
      <w:pPr>
        <w:spacing w:after="0" w:line="240" w:lineRule="auto"/>
      </w:pPr>
      <w:r>
        <w:separator/>
      </w:r>
    </w:p>
  </w:endnote>
  <w:endnote w:type="continuationSeparator" w:id="0">
    <w:p w:rsidR="007C4CA4" w:rsidRDefault="007C4CA4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A4" w:rsidRDefault="007C4CA4" w:rsidP="00655B14">
      <w:pPr>
        <w:spacing w:after="0" w:line="240" w:lineRule="auto"/>
      </w:pPr>
      <w:r>
        <w:separator/>
      </w:r>
    </w:p>
  </w:footnote>
  <w:footnote w:type="continuationSeparator" w:id="0">
    <w:p w:rsidR="007C4CA4" w:rsidRDefault="007C4CA4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1C3FD8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286F86">
      <w:rPr>
        <w:color w:val="17365D"/>
        <w:sz w:val="30"/>
        <w:szCs w:val="30"/>
      </w:rPr>
      <w:t>8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3FD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4AC5"/>
    <w:rsid w:val="0028544B"/>
    <w:rsid w:val="00286F86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AB3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210B1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010"/>
    <w:rsid w:val="004267CA"/>
    <w:rsid w:val="004269C0"/>
    <w:rsid w:val="0043290F"/>
    <w:rsid w:val="0045189F"/>
    <w:rsid w:val="00457B53"/>
    <w:rsid w:val="00463C79"/>
    <w:rsid w:val="004669A9"/>
    <w:rsid w:val="00470BAB"/>
    <w:rsid w:val="0047406F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24C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032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4FF7"/>
    <w:rsid w:val="005B5C23"/>
    <w:rsid w:val="005B681C"/>
    <w:rsid w:val="005C710A"/>
    <w:rsid w:val="005E2124"/>
    <w:rsid w:val="005E4C75"/>
    <w:rsid w:val="005F5002"/>
    <w:rsid w:val="005F730C"/>
    <w:rsid w:val="00600AE4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D0F"/>
    <w:rsid w:val="006474BF"/>
    <w:rsid w:val="0065030F"/>
    <w:rsid w:val="00650B15"/>
    <w:rsid w:val="00651991"/>
    <w:rsid w:val="00654307"/>
    <w:rsid w:val="00654F88"/>
    <w:rsid w:val="00655789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09DB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67889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4CA4"/>
    <w:rsid w:val="007C5FFD"/>
    <w:rsid w:val="007C6D19"/>
    <w:rsid w:val="007D1A76"/>
    <w:rsid w:val="007D2825"/>
    <w:rsid w:val="007D62ED"/>
    <w:rsid w:val="007D7BB1"/>
    <w:rsid w:val="007E0D15"/>
    <w:rsid w:val="007E2443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366E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62B7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2CD0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283F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47E7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1D6E"/>
    <w:rsid w:val="00FB27DA"/>
    <w:rsid w:val="00FB3096"/>
    <w:rsid w:val="00FC072A"/>
    <w:rsid w:val="00FC3BB1"/>
    <w:rsid w:val="00FD1CF2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C2B6-81D9-407D-94E4-2989FC06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5</cp:revision>
  <cp:lastPrinted>2016-07-12T07:21:00Z</cp:lastPrinted>
  <dcterms:created xsi:type="dcterms:W3CDTF">2016-07-14T12:36:00Z</dcterms:created>
  <dcterms:modified xsi:type="dcterms:W3CDTF">2016-08-02T10:58:00Z</dcterms:modified>
</cp:coreProperties>
</file>