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56" w:rsidRPr="00D763B7" w:rsidRDefault="00E27A8B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291465</wp:posOffset>
                </wp:positionV>
                <wp:extent cx="4340860" cy="0"/>
                <wp:effectExtent l="9525" t="11430" r="12065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0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C06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45pt;margin-top:22.95pt;width:341.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W0OwIAAE4EAAAOAAAAZHJzL2Uyb0RvYy54bWysVM2O0zAQviPxDlbubZJuWtpo0xVKWi4L&#10;VNrlAVzbacwmHst2m1aIB+G4D8BTrPa9GLs/sHBBiByccTzzzTczn3N9s+9ashPGSlBFlA6TiAjF&#10;gEu1KaJP98vBNCLWUcVpC0oU0UHY6Gb++tV1r3MxggZaLgxBEGXzXhdR45zO49iyRnTUDkELhYc1&#10;mI463JpNzA3tEb1r41GSTOIeDNcGmLAWv1bHw2ge8OtaMPexrq1wpC0i5ObCasK69ms8v6b5xlDd&#10;SHaiQf+BRUelwqQXqIo6SrZG/gHVSWbAQu2GDLoY6loyEWrAatLkt2ruGqpFqAWbY/WlTfb/wbIP&#10;u5UhkuPsIqJohyNaPX97+t49PRKr4bNCfsQK8vwo9QNsSeo71mubY2CpVsbXzPbqTt8Ce7BEQdlQ&#10;tRGB+f1BI1yIiF+E+I3VmHfdvweOPnTrILRvX5vOQ2JjyD5M6XCZktg7wvBjdpUl0wkOk53PYpqf&#10;A7Wx7p2AjnijiKwzVG4aV4JSqAUwaUhDd7fWYSEYeA7wWRUsZdsGSbSK9EU0G4/GIcBCK7k/9G7W&#10;bNZla8iOelGFx3cFwV64GdgqHsAaQfniZDsq26ON/q3yeFgY0jlZR9V8mSWzxXQxzQbZaLIYZElV&#10;Dd4uy2wwWaZvxtVVVZZV+tVTS7O8kZwL5dmdFZxmf6eQ0106au+i4Usb4pfooUQke34H0mGyfphH&#10;WayBH1bGd8MPGUUbnE8XzN+KX/fB6+dvYP4DAAD//wMAUEsDBBQABgAIAAAAIQBns2Gg3AAAAAcB&#10;AAAPAAAAZHJzL2Rvd25yZXYueG1sTI5BS8NAEIXvgv9hGcGLtJsGW9uYTSmCB4+2Ba/T7JhEs7Mh&#10;u2lif70jHvT0mPceb758O7lWnakPjWcDi3kCirj0tuHKwPHwPFuDChHZYuuZDHxRgG1xfZVjZv3I&#10;r3Tex0rJCIcMDdQxdpnWoazJYZj7jliyd987jHL2lbY9jjLuWp0myUo7bFg+1NjRU03l535wBigM&#10;y0Wy27jq+HIZ797Sy8fYHYy5vZl2j6AiTfGvDD/4gg6FMJ38wDao1sBsI0UD90tRiVfr9AHU6dfQ&#10;Ra7/8xffAAAA//8DAFBLAQItABQABgAIAAAAIQC2gziS/gAAAOEBAAATAAAAAAAAAAAAAAAAAAAA&#10;AABbQ29udGVudF9UeXBlc10ueG1sUEsBAi0AFAAGAAgAAAAhADj9If/WAAAAlAEAAAsAAAAAAAAA&#10;AAAAAAAALwEAAF9yZWxzLy5yZWxzUEsBAi0AFAAGAAgAAAAhAC2xVbQ7AgAATgQAAA4AAAAAAAAA&#10;AAAAAAAALgIAAGRycy9lMm9Eb2MueG1sUEsBAi0AFAAGAAgAAAAhAGezYaDcAAAABwEAAA8AAAAA&#10;AAAAAAAAAAAAlQQAAGRycy9kb3ducmV2LnhtbFBLBQYAAAAABAAEAPMAAACeBQAAAAA=&#10;"/>
            </w:pict>
          </mc:Fallback>
        </mc:AlternateConten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1F00A9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color w:val="17365D"/>
          <w:sz w:val="30"/>
          <w:szCs w:val="30"/>
        </w:rPr>
        <w:t>3</w:t>
      </w:r>
      <w:r w:rsidR="00FF22D6">
        <w:rPr>
          <w:color w:val="17365D"/>
          <w:sz w:val="30"/>
          <w:szCs w:val="30"/>
        </w:rPr>
        <w:t>.</w:t>
      </w:r>
      <w:r w:rsidR="00C075DD">
        <w:rPr>
          <w:color w:val="17365D"/>
          <w:sz w:val="30"/>
          <w:szCs w:val="30"/>
        </w:rPr>
        <w:t xml:space="preserve"> 2. </w:t>
      </w:r>
      <w:r w:rsidR="00FF22D6">
        <w:rPr>
          <w:color w:val="17365D"/>
          <w:sz w:val="30"/>
          <w:szCs w:val="30"/>
        </w:rPr>
        <w:t>201</w:t>
      </w:r>
      <w:r w:rsidR="00C075DD">
        <w:rPr>
          <w:color w:val="17365D"/>
          <w:sz w:val="30"/>
          <w:szCs w:val="30"/>
        </w:rPr>
        <w:t>6</w:t>
      </w:r>
    </w:p>
    <w:p w:rsidR="003E4FDA" w:rsidRPr="00345315" w:rsidRDefault="003E4FDA" w:rsidP="003E4FDA">
      <w:pPr>
        <w:spacing w:after="0"/>
        <w:rPr>
          <w:rFonts w:ascii="Arial" w:hAnsi="Arial" w:cs="Arial"/>
          <w:i/>
          <w:sz w:val="20"/>
          <w:szCs w:val="20"/>
        </w:rPr>
      </w:pPr>
    </w:p>
    <w:p w:rsidR="00345315" w:rsidRDefault="00345315" w:rsidP="003E4F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5315" w:rsidRDefault="00345315" w:rsidP="003E4F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45315" w:rsidRDefault="00345315" w:rsidP="003E4FDA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3E4FDA" w:rsidRPr="00167EA3" w:rsidRDefault="00340542" w:rsidP="00573A57">
      <w:pPr>
        <w:spacing w:after="0"/>
        <w:rPr>
          <w:rFonts w:ascii="Arial Black" w:hAnsi="Arial Black"/>
          <w:color w:val="000000" w:themeColor="text1"/>
          <w:sz w:val="34"/>
          <w:szCs w:val="34"/>
        </w:rPr>
      </w:pPr>
      <w:r>
        <w:rPr>
          <w:rFonts w:ascii="Arial Black" w:hAnsi="Arial Black"/>
          <w:color w:val="000000" w:themeColor="text1"/>
          <w:sz w:val="34"/>
          <w:szCs w:val="34"/>
        </w:rPr>
        <w:t>M</w:t>
      </w:r>
      <w:r w:rsidR="002B5751">
        <w:rPr>
          <w:rFonts w:ascii="Arial Black" w:hAnsi="Arial Black"/>
          <w:color w:val="000000" w:themeColor="text1"/>
          <w:sz w:val="34"/>
          <w:szCs w:val="34"/>
        </w:rPr>
        <w:t xml:space="preserve">ezi zájemci o nové bydlení v Praze </w:t>
      </w:r>
      <w:r w:rsidR="001825B3">
        <w:rPr>
          <w:rFonts w:ascii="Arial Black" w:hAnsi="Arial Black"/>
          <w:color w:val="000000" w:themeColor="text1"/>
          <w:sz w:val="34"/>
          <w:szCs w:val="34"/>
        </w:rPr>
        <w:t>byl loni</w:t>
      </w:r>
      <w:r>
        <w:rPr>
          <w:rFonts w:ascii="Arial Black" w:hAnsi="Arial Black"/>
          <w:color w:val="000000" w:themeColor="text1"/>
          <w:sz w:val="34"/>
          <w:szCs w:val="34"/>
        </w:rPr>
        <w:t xml:space="preserve"> nižší podíl cizinců</w:t>
      </w:r>
      <w:r w:rsidR="00424803">
        <w:rPr>
          <w:rFonts w:ascii="Arial Black" w:hAnsi="Arial Black"/>
          <w:color w:val="000000" w:themeColor="text1"/>
          <w:sz w:val="34"/>
          <w:szCs w:val="34"/>
        </w:rPr>
        <w:t>, nahradili je Češi</w:t>
      </w:r>
    </w:p>
    <w:p w:rsidR="00FF22D6" w:rsidRPr="00FF22D6" w:rsidRDefault="00FF22D6" w:rsidP="00D763B7">
      <w:pPr>
        <w:spacing w:after="0"/>
        <w:rPr>
          <w:rFonts w:ascii="Arial Black" w:hAnsi="Arial Black"/>
          <w:color w:val="000000" w:themeColor="text1"/>
        </w:rPr>
      </w:pPr>
    </w:p>
    <w:p w:rsidR="00113643" w:rsidRDefault="002B5751" w:rsidP="00FF22D6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  <w:r>
        <w:rPr>
          <w:rFonts w:ascii="Arial" w:hAnsi="Arial" w:cs="Arial"/>
          <w:i/>
          <w:lang w:eastAsia="cs-CZ"/>
        </w:rPr>
        <w:t xml:space="preserve">Praha, </w:t>
      </w:r>
      <w:r w:rsidR="001F00A9">
        <w:rPr>
          <w:rFonts w:ascii="Arial" w:hAnsi="Arial" w:cs="Arial"/>
          <w:i/>
          <w:lang w:eastAsia="cs-CZ"/>
        </w:rPr>
        <w:t>3</w:t>
      </w:r>
      <w:r w:rsidR="00FF22D6" w:rsidRPr="000D2D5D">
        <w:rPr>
          <w:rFonts w:ascii="Arial" w:hAnsi="Arial" w:cs="Arial"/>
          <w:i/>
          <w:lang w:eastAsia="cs-CZ"/>
        </w:rPr>
        <w:t>.</w:t>
      </w:r>
      <w:r w:rsidR="00C075DD" w:rsidRPr="000D2D5D">
        <w:rPr>
          <w:rFonts w:ascii="Arial" w:hAnsi="Arial" w:cs="Arial"/>
          <w:i/>
          <w:lang w:eastAsia="cs-CZ"/>
        </w:rPr>
        <w:t xml:space="preserve"> </w:t>
      </w:r>
      <w:r w:rsidR="00FF22D6" w:rsidRPr="000D2D5D">
        <w:rPr>
          <w:rFonts w:ascii="Arial" w:hAnsi="Arial" w:cs="Arial"/>
          <w:i/>
          <w:lang w:eastAsia="cs-CZ"/>
        </w:rPr>
        <w:t>2</w:t>
      </w:r>
      <w:r w:rsidR="00ED31C9" w:rsidRPr="000D2D5D">
        <w:rPr>
          <w:rFonts w:ascii="Arial" w:hAnsi="Arial" w:cs="Arial"/>
          <w:i/>
          <w:lang w:eastAsia="cs-CZ"/>
        </w:rPr>
        <w:t>.</w:t>
      </w:r>
      <w:r w:rsidR="00C075DD" w:rsidRPr="000D2D5D">
        <w:rPr>
          <w:rFonts w:ascii="Arial" w:hAnsi="Arial" w:cs="Arial"/>
          <w:i/>
          <w:lang w:eastAsia="cs-CZ"/>
        </w:rPr>
        <w:t xml:space="preserve"> </w:t>
      </w:r>
      <w:r w:rsidR="00ED31C9" w:rsidRPr="000D2D5D">
        <w:rPr>
          <w:rFonts w:ascii="Arial" w:hAnsi="Arial" w:cs="Arial"/>
          <w:i/>
          <w:lang w:eastAsia="cs-CZ"/>
        </w:rPr>
        <w:t>201</w:t>
      </w:r>
      <w:r w:rsidR="00C075DD" w:rsidRPr="000D2D5D">
        <w:rPr>
          <w:rFonts w:ascii="Arial" w:hAnsi="Arial" w:cs="Arial"/>
          <w:i/>
          <w:lang w:eastAsia="cs-CZ"/>
        </w:rPr>
        <w:t>6</w:t>
      </w:r>
      <w:r w:rsidR="002E04AA" w:rsidRPr="000D2D5D">
        <w:rPr>
          <w:rFonts w:ascii="Arial" w:hAnsi="Arial" w:cs="Arial"/>
          <w:i/>
          <w:lang w:eastAsia="cs-CZ"/>
        </w:rPr>
        <w:t xml:space="preserve"> –</w:t>
      </w:r>
      <w:r w:rsidR="002E04AA" w:rsidRPr="000D2D5D">
        <w:rPr>
          <w:rFonts w:ascii="Arial" w:hAnsi="Arial" w:cs="Arial"/>
          <w:lang w:eastAsia="cs-CZ"/>
        </w:rPr>
        <w:t xml:space="preserve"> </w:t>
      </w:r>
      <w:r w:rsidR="00113643">
        <w:rPr>
          <w:rFonts w:ascii="Arial" w:hAnsi="Arial" w:cs="Arial"/>
          <w:b/>
          <w:color w:val="000000" w:themeColor="text1"/>
          <w:lang w:eastAsia="cs-CZ"/>
        </w:rPr>
        <w:t>Mezi zájemci o koupi nového bydlení v</w:t>
      </w:r>
      <w:r w:rsidR="002B6A47">
        <w:rPr>
          <w:rFonts w:ascii="Arial" w:hAnsi="Arial" w:cs="Arial"/>
          <w:b/>
          <w:color w:val="000000" w:themeColor="text1"/>
          <w:lang w:eastAsia="cs-CZ"/>
        </w:rPr>
        <w:t> </w:t>
      </w:r>
      <w:r w:rsidR="00113643">
        <w:rPr>
          <w:rFonts w:ascii="Arial" w:hAnsi="Arial" w:cs="Arial"/>
          <w:b/>
          <w:color w:val="000000" w:themeColor="text1"/>
          <w:lang w:eastAsia="cs-CZ"/>
        </w:rPr>
        <w:t>Praze</w:t>
      </w:r>
      <w:r w:rsidR="002B6A47">
        <w:rPr>
          <w:rFonts w:ascii="Arial" w:hAnsi="Arial" w:cs="Arial"/>
          <w:b/>
          <w:color w:val="000000" w:themeColor="text1"/>
          <w:lang w:eastAsia="cs-CZ"/>
        </w:rPr>
        <w:t xml:space="preserve"> byl vloni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</w:t>
      </w:r>
      <w:r w:rsidR="00340542">
        <w:rPr>
          <w:rFonts w:ascii="Arial" w:hAnsi="Arial" w:cs="Arial"/>
          <w:b/>
          <w:color w:val="000000" w:themeColor="text1"/>
          <w:lang w:eastAsia="cs-CZ"/>
        </w:rPr>
        <w:t>menší podíl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cizinců. </w:t>
      </w:r>
      <w:r w:rsidR="002B6A47">
        <w:rPr>
          <w:rFonts w:ascii="Arial" w:hAnsi="Arial" w:cs="Arial"/>
          <w:b/>
          <w:color w:val="000000" w:themeColor="text1"/>
          <w:lang w:eastAsia="cs-CZ"/>
        </w:rPr>
        <w:t xml:space="preserve">Zatímco v předchozích letech </w:t>
      </w:r>
      <w:r w:rsidR="00340542">
        <w:rPr>
          <w:rFonts w:ascii="Arial" w:hAnsi="Arial" w:cs="Arial"/>
          <w:b/>
          <w:color w:val="000000" w:themeColor="text1"/>
          <w:lang w:eastAsia="cs-CZ"/>
        </w:rPr>
        <w:t>zájem kupujících ze zahraničí</w:t>
      </w:r>
      <w:r w:rsidR="002B6A47">
        <w:rPr>
          <w:rFonts w:ascii="Arial" w:hAnsi="Arial" w:cs="Arial"/>
          <w:b/>
          <w:color w:val="000000" w:themeColor="text1"/>
          <w:lang w:eastAsia="cs-CZ"/>
        </w:rPr>
        <w:t xml:space="preserve"> spíše rostl, loni zaznamenal 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největší domácí rezidenční developer </w:t>
      </w:r>
      <w:proofErr w:type="spellStart"/>
      <w:r w:rsidR="00113643">
        <w:rPr>
          <w:rFonts w:ascii="Arial" w:hAnsi="Arial" w:cs="Arial"/>
          <w:b/>
          <w:color w:val="000000" w:themeColor="text1"/>
          <w:lang w:eastAsia="cs-CZ"/>
        </w:rPr>
        <w:t>Central</w:t>
      </w:r>
      <w:proofErr w:type="spellEnd"/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Group</w:t>
      </w:r>
      <w:r w:rsidR="002B6A47">
        <w:rPr>
          <w:rFonts w:ascii="Arial" w:hAnsi="Arial" w:cs="Arial"/>
          <w:b/>
          <w:color w:val="000000" w:themeColor="text1"/>
          <w:lang w:eastAsia="cs-CZ"/>
        </w:rPr>
        <w:t xml:space="preserve"> naopak pokles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podílu cizinců na prodejích</w:t>
      </w:r>
      <w:r w:rsidR="002B6A47">
        <w:rPr>
          <w:rFonts w:ascii="Arial" w:hAnsi="Arial" w:cs="Arial"/>
          <w:b/>
          <w:color w:val="000000" w:themeColor="text1"/>
          <w:lang w:eastAsia="cs-CZ"/>
        </w:rPr>
        <w:t>, a to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o </w:t>
      </w:r>
      <w:r w:rsidR="00662778">
        <w:rPr>
          <w:rFonts w:ascii="Arial" w:hAnsi="Arial" w:cs="Arial"/>
          <w:b/>
          <w:color w:val="000000" w:themeColor="text1"/>
          <w:lang w:eastAsia="cs-CZ"/>
        </w:rPr>
        <w:t>čtyři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procentní bod</w:t>
      </w:r>
      <w:r w:rsidR="00662778">
        <w:rPr>
          <w:rFonts w:ascii="Arial" w:hAnsi="Arial" w:cs="Arial"/>
          <w:b/>
          <w:color w:val="000000" w:themeColor="text1"/>
          <w:lang w:eastAsia="cs-CZ"/>
        </w:rPr>
        <w:t>y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. Z tisícovky prodaných bytů </w:t>
      </w:r>
      <w:proofErr w:type="spellStart"/>
      <w:r w:rsidR="00113643">
        <w:rPr>
          <w:rFonts w:ascii="Arial" w:hAnsi="Arial" w:cs="Arial"/>
          <w:b/>
          <w:color w:val="000000" w:themeColor="text1"/>
          <w:lang w:eastAsia="cs-CZ"/>
        </w:rPr>
        <w:t>Central</w:t>
      </w:r>
      <w:proofErr w:type="spellEnd"/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Group</w:t>
      </w:r>
      <w:r w:rsidR="008775E9">
        <w:rPr>
          <w:rFonts w:ascii="Arial" w:hAnsi="Arial" w:cs="Arial"/>
          <w:b/>
          <w:color w:val="000000" w:themeColor="text1"/>
          <w:lang w:eastAsia="cs-CZ"/>
        </w:rPr>
        <w:t xml:space="preserve"> loni deset procent</w:t>
      </w:r>
      <w:r w:rsidR="00113643">
        <w:rPr>
          <w:rFonts w:ascii="Arial" w:hAnsi="Arial" w:cs="Arial"/>
          <w:b/>
          <w:color w:val="000000" w:themeColor="text1"/>
          <w:lang w:eastAsia="cs-CZ"/>
        </w:rPr>
        <w:t xml:space="preserve"> koupili cizinci s výjimkou Slováků. Těch </w:t>
      </w:r>
      <w:r w:rsidR="00371D32">
        <w:rPr>
          <w:rFonts w:ascii="Arial" w:hAnsi="Arial" w:cs="Arial"/>
          <w:b/>
          <w:color w:val="000000" w:themeColor="text1"/>
          <w:lang w:eastAsia="cs-CZ"/>
        </w:rPr>
        <w:t xml:space="preserve">je mezi kupujícími </w:t>
      </w:r>
      <w:r w:rsidR="008775E9">
        <w:rPr>
          <w:rFonts w:ascii="Arial" w:hAnsi="Arial" w:cs="Arial"/>
          <w:b/>
          <w:color w:val="000000" w:themeColor="text1"/>
          <w:lang w:eastAsia="cs-CZ"/>
        </w:rPr>
        <w:t>stabilně</w:t>
      </w:r>
      <w:r w:rsidR="00371D32">
        <w:rPr>
          <w:rFonts w:ascii="Arial" w:hAnsi="Arial" w:cs="Arial"/>
          <w:b/>
          <w:color w:val="000000" w:themeColor="text1"/>
          <w:lang w:eastAsia="cs-CZ"/>
        </w:rPr>
        <w:t xml:space="preserve"> 14 procent. </w:t>
      </w:r>
    </w:p>
    <w:p w:rsidR="00113643" w:rsidRDefault="00113643" w:rsidP="00FF22D6">
      <w:pPr>
        <w:spacing w:after="0"/>
        <w:contextualSpacing/>
        <w:jc w:val="both"/>
        <w:rPr>
          <w:rFonts w:ascii="Arial" w:hAnsi="Arial" w:cs="Arial"/>
          <w:b/>
          <w:color w:val="000000" w:themeColor="text1"/>
          <w:lang w:eastAsia="cs-CZ"/>
        </w:rPr>
      </w:pPr>
    </w:p>
    <w:p w:rsidR="00280B99" w:rsidRDefault="00113643" w:rsidP="00280B9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  <w:color w:val="000000" w:themeColor="text1"/>
          <w:lang w:eastAsia="cs-CZ"/>
        </w:rPr>
        <w:t xml:space="preserve">Důvodem poklesu poptávky ze strany cizinců je povětšinou geopolitická situace v zemích </w:t>
      </w:r>
      <w:r w:rsidR="00280B99">
        <w:rPr>
          <w:rFonts w:ascii="Arial" w:hAnsi="Arial" w:cs="Arial"/>
          <w:color w:val="000000" w:themeColor="text1"/>
          <w:lang w:eastAsia="cs-CZ"/>
        </w:rPr>
        <w:t xml:space="preserve">jejich </w:t>
      </w:r>
      <w:r>
        <w:rPr>
          <w:rFonts w:ascii="Arial" w:hAnsi="Arial" w:cs="Arial"/>
          <w:color w:val="000000" w:themeColor="text1"/>
          <w:lang w:eastAsia="cs-CZ"/>
        </w:rPr>
        <w:t xml:space="preserve">původu. </w:t>
      </w:r>
      <w:r w:rsidR="00961B13" w:rsidRPr="00961B13">
        <w:rPr>
          <w:rFonts w:ascii="Arial" w:hAnsi="Arial" w:cs="Arial"/>
          <w:i/>
          <w:color w:val="000000" w:themeColor="text1"/>
          <w:lang w:eastAsia="cs-CZ"/>
        </w:rPr>
        <w:t>„</w:t>
      </w:r>
      <w:r w:rsidRPr="00961B13">
        <w:rPr>
          <w:rFonts w:ascii="Arial" w:hAnsi="Arial" w:cs="Arial"/>
          <w:i/>
          <w:color w:val="000000" w:themeColor="text1"/>
          <w:lang w:eastAsia="cs-CZ"/>
        </w:rPr>
        <w:t xml:space="preserve">Především jde o </w:t>
      </w:r>
      <w:r w:rsidR="002B6BEB">
        <w:rPr>
          <w:rFonts w:ascii="Arial" w:hAnsi="Arial" w:cs="Arial"/>
          <w:i/>
          <w:color w:val="000000" w:themeColor="text1"/>
          <w:lang w:eastAsia="cs-CZ"/>
        </w:rPr>
        <w:t xml:space="preserve">země východní Evropy a </w:t>
      </w:r>
      <w:r w:rsidR="00371D32">
        <w:rPr>
          <w:rFonts w:ascii="Arial" w:hAnsi="Arial" w:cs="Arial"/>
          <w:i/>
          <w:color w:val="000000" w:themeColor="text1"/>
          <w:lang w:eastAsia="cs-CZ"/>
        </w:rPr>
        <w:t xml:space="preserve">hlavně o </w:t>
      </w:r>
      <w:r w:rsidRPr="00961B13">
        <w:rPr>
          <w:rFonts w:ascii="Arial" w:hAnsi="Arial" w:cs="Arial"/>
          <w:i/>
          <w:color w:val="000000" w:themeColor="text1"/>
          <w:lang w:eastAsia="cs-CZ"/>
        </w:rPr>
        <w:t xml:space="preserve">Rusko, kde </w:t>
      </w:r>
      <w:r w:rsidR="00961B13" w:rsidRPr="00961B13">
        <w:rPr>
          <w:rFonts w:ascii="Arial" w:hAnsi="Arial" w:cs="Arial"/>
          <w:i/>
          <w:color w:val="000000" w:themeColor="text1"/>
          <w:lang w:eastAsia="cs-CZ"/>
        </w:rPr>
        <w:t>se na</w:t>
      </w:r>
      <w:r w:rsidR="002B6A47">
        <w:rPr>
          <w:rFonts w:ascii="Arial" w:hAnsi="Arial" w:cs="Arial"/>
          <w:i/>
          <w:color w:val="000000" w:themeColor="text1"/>
          <w:lang w:eastAsia="cs-CZ"/>
        </w:rPr>
        <w:t xml:space="preserve"> klesajících</w:t>
      </w:r>
      <w:r w:rsidR="00961B13" w:rsidRPr="00961B13">
        <w:rPr>
          <w:rFonts w:ascii="Arial" w:hAnsi="Arial" w:cs="Arial"/>
          <w:i/>
          <w:color w:val="000000" w:themeColor="text1"/>
          <w:lang w:eastAsia="cs-CZ"/>
        </w:rPr>
        <w:t xml:space="preserve"> investicích </w:t>
      </w:r>
      <w:r w:rsidR="005E441A">
        <w:rPr>
          <w:rFonts w:ascii="Arial" w:hAnsi="Arial" w:cs="Arial"/>
          <w:i/>
          <w:color w:val="000000" w:themeColor="text1"/>
          <w:lang w:eastAsia="cs-CZ"/>
        </w:rPr>
        <w:t xml:space="preserve">občanů </w:t>
      </w:r>
      <w:r w:rsidR="002B6A47">
        <w:rPr>
          <w:rFonts w:ascii="Arial" w:hAnsi="Arial" w:cs="Arial"/>
          <w:i/>
          <w:color w:val="000000" w:themeColor="text1"/>
          <w:lang w:eastAsia="cs-CZ"/>
        </w:rPr>
        <w:t xml:space="preserve">v zahraničí </w:t>
      </w:r>
      <w:r w:rsidR="00097FFC">
        <w:rPr>
          <w:rFonts w:ascii="Arial" w:hAnsi="Arial" w:cs="Arial"/>
          <w:i/>
          <w:color w:val="000000" w:themeColor="text1"/>
          <w:lang w:eastAsia="cs-CZ"/>
        </w:rPr>
        <w:t xml:space="preserve">v posledních letech </w:t>
      </w:r>
      <w:r w:rsidR="00961B13" w:rsidRPr="00961B13">
        <w:rPr>
          <w:rFonts w:ascii="Arial" w:hAnsi="Arial" w:cs="Arial"/>
          <w:i/>
          <w:color w:val="000000" w:themeColor="text1"/>
          <w:lang w:eastAsia="cs-CZ"/>
        </w:rPr>
        <w:t xml:space="preserve">projevuje pokles </w:t>
      </w:r>
      <w:r w:rsidR="002B6A47">
        <w:rPr>
          <w:rFonts w:ascii="Arial" w:hAnsi="Arial" w:cs="Arial"/>
          <w:i/>
          <w:color w:val="000000" w:themeColor="text1"/>
          <w:lang w:eastAsia="cs-CZ"/>
        </w:rPr>
        <w:t xml:space="preserve">tamní </w:t>
      </w:r>
      <w:r w:rsidR="00961B13" w:rsidRPr="00961B13">
        <w:rPr>
          <w:rFonts w:ascii="Arial" w:hAnsi="Arial" w:cs="Arial"/>
          <w:i/>
          <w:color w:val="000000" w:themeColor="text1"/>
          <w:lang w:eastAsia="cs-CZ"/>
        </w:rPr>
        <w:t>ekonomiky a devalvace rublu,“</w:t>
      </w:r>
      <w:r w:rsidR="00961B13">
        <w:rPr>
          <w:rFonts w:ascii="Arial" w:hAnsi="Arial" w:cs="Arial"/>
          <w:color w:val="000000" w:themeColor="text1"/>
          <w:lang w:eastAsia="cs-CZ"/>
        </w:rPr>
        <w:t xml:space="preserve"> vysvětlil šéf </w:t>
      </w:r>
      <w:proofErr w:type="spellStart"/>
      <w:r w:rsidR="00961B13">
        <w:rPr>
          <w:rFonts w:ascii="Arial" w:hAnsi="Arial" w:cs="Arial"/>
          <w:color w:val="000000" w:themeColor="text1"/>
          <w:lang w:eastAsia="cs-CZ"/>
        </w:rPr>
        <w:t>Central</w:t>
      </w:r>
      <w:proofErr w:type="spellEnd"/>
      <w:r w:rsidR="00961B13">
        <w:rPr>
          <w:rFonts w:ascii="Arial" w:hAnsi="Arial" w:cs="Arial"/>
          <w:color w:val="000000" w:themeColor="text1"/>
          <w:lang w:eastAsia="cs-CZ"/>
        </w:rPr>
        <w:t xml:space="preserve"> Group Dušan Kunovský. </w:t>
      </w:r>
      <w:r w:rsidR="002B6BEB">
        <w:rPr>
          <w:rFonts w:ascii="Arial" w:hAnsi="Arial" w:cs="Arial"/>
          <w:color w:val="000000" w:themeColor="text1"/>
          <w:lang w:eastAsia="cs-CZ"/>
        </w:rPr>
        <w:t>Relativně s</w:t>
      </w:r>
      <w:r w:rsidR="00872D87">
        <w:rPr>
          <w:rFonts w:ascii="Arial" w:hAnsi="Arial" w:cs="Arial"/>
          <w:color w:val="000000" w:themeColor="text1"/>
          <w:lang w:eastAsia="cs-CZ"/>
        </w:rPr>
        <w:t>tabilní jsou počty</w:t>
      </w:r>
      <w:r w:rsidR="00961B13">
        <w:rPr>
          <w:rFonts w:ascii="Arial" w:hAnsi="Arial" w:cs="Arial"/>
          <w:color w:val="000000" w:themeColor="text1"/>
          <w:lang w:eastAsia="cs-CZ"/>
        </w:rPr>
        <w:t xml:space="preserve"> cizinců z</w:t>
      </w:r>
      <w:r w:rsidR="002B6BEB">
        <w:rPr>
          <w:rFonts w:ascii="Arial" w:hAnsi="Arial" w:cs="Arial"/>
          <w:color w:val="000000" w:themeColor="text1"/>
          <w:lang w:eastAsia="cs-CZ"/>
        </w:rPr>
        <w:t> </w:t>
      </w:r>
      <w:r w:rsidR="00961B13">
        <w:rPr>
          <w:rFonts w:ascii="Arial" w:hAnsi="Arial" w:cs="Arial"/>
          <w:color w:val="000000" w:themeColor="text1"/>
          <w:lang w:eastAsia="cs-CZ"/>
        </w:rPr>
        <w:t>EU</w:t>
      </w:r>
      <w:r w:rsidR="002B6BEB">
        <w:rPr>
          <w:rFonts w:ascii="Arial" w:hAnsi="Arial" w:cs="Arial"/>
          <w:color w:val="000000" w:themeColor="text1"/>
          <w:lang w:eastAsia="cs-CZ"/>
        </w:rPr>
        <w:t>, kde jde převážně o manažery zaměstnané ve vedení nadnárodních firem v Česku</w:t>
      </w:r>
      <w:r w:rsidR="00961B13">
        <w:rPr>
          <w:rFonts w:ascii="Arial" w:hAnsi="Arial" w:cs="Arial"/>
          <w:color w:val="000000" w:themeColor="text1"/>
          <w:lang w:eastAsia="cs-CZ"/>
        </w:rPr>
        <w:t xml:space="preserve">. </w:t>
      </w:r>
      <w:r w:rsidR="002B6BEB">
        <w:rPr>
          <w:rFonts w:ascii="Arial" w:hAnsi="Arial" w:cs="Arial"/>
          <w:color w:val="000000" w:themeColor="text1"/>
          <w:lang w:eastAsia="cs-CZ"/>
        </w:rPr>
        <w:t xml:space="preserve">Také podíl </w:t>
      </w:r>
      <w:r w:rsidR="00961B13">
        <w:rPr>
          <w:rFonts w:ascii="Arial" w:hAnsi="Arial" w:cs="Arial"/>
          <w:color w:val="000000" w:themeColor="text1"/>
          <w:lang w:eastAsia="cs-CZ"/>
        </w:rPr>
        <w:t xml:space="preserve">Slováků, které většina Čechů za cizince ani nepovažuje, </w:t>
      </w:r>
      <w:r w:rsidR="002B6BEB">
        <w:rPr>
          <w:rFonts w:ascii="Arial" w:hAnsi="Arial" w:cs="Arial"/>
          <w:color w:val="000000" w:themeColor="text1"/>
          <w:lang w:eastAsia="cs-CZ"/>
        </w:rPr>
        <w:t>je v posledních letech stabilní</w:t>
      </w:r>
      <w:r w:rsidR="00961B13">
        <w:rPr>
          <w:rFonts w:ascii="Arial" w:hAnsi="Arial" w:cs="Arial"/>
          <w:color w:val="000000" w:themeColor="text1"/>
          <w:lang w:eastAsia="cs-CZ"/>
        </w:rPr>
        <w:t>.</w:t>
      </w:r>
      <w:r w:rsidR="00574BF9">
        <w:rPr>
          <w:rFonts w:ascii="Arial" w:hAnsi="Arial" w:cs="Arial"/>
          <w:color w:val="000000" w:themeColor="text1"/>
          <w:lang w:eastAsia="cs-CZ"/>
        </w:rPr>
        <w:t xml:space="preserve"> Výpadek ruské klientely bohatě pokryl růst poptávky ze strany Čechů.</w:t>
      </w:r>
    </w:p>
    <w:p w:rsidR="00280B99" w:rsidRDefault="00280B99" w:rsidP="00280B9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 w:themeColor="text1"/>
          <w:lang w:eastAsia="cs-CZ"/>
        </w:rPr>
      </w:pPr>
    </w:p>
    <w:p w:rsidR="00280B99" w:rsidRDefault="00280B99" w:rsidP="00280B99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 českých kupujících je necelých 65 procent těch, kdo si byty v Praze kupují, již občany hlavního města a hledají tak jen větší nebo menší bydlení, nebo se stěhují do luxusnějších bytů v lepších lokalitách blíže centra</w:t>
      </w:r>
      <w:r w:rsidR="00574BF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jdou ze staršího bydlení do nového</w:t>
      </w:r>
      <w:r w:rsidR="00574BF9">
        <w:rPr>
          <w:rFonts w:ascii="Arial" w:hAnsi="Arial" w:cs="Arial"/>
        </w:rPr>
        <w:t xml:space="preserve"> nebo hledají byt pro investiční příležitost</w:t>
      </w:r>
      <w:r>
        <w:rPr>
          <w:rFonts w:ascii="Arial" w:hAnsi="Arial" w:cs="Arial"/>
        </w:rPr>
        <w:t>. Zbývajících více než 35 procent má v době koupě bydliště mimo Prahu a je tak pravděpodobné, že se do Prahy stěhují. Nejčastěji jsou ze Středočeského kraje a Vysočiny, nejméně z Karlovarského kraje.</w:t>
      </w:r>
    </w:p>
    <w:p w:rsidR="00280B99" w:rsidRPr="00280B99" w:rsidRDefault="00280B99" w:rsidP="00280B99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0000" w:themeColor="text1"/>
          <w:lang w:eastAsia="cs-CZ"/>
        </w:rPr>
      </w:pPr>
      <w:r>
        <w:rPr>
          <w:rFonts w:ascii="Arial" w:hAnsi="Arial" w:cs="Arial"/>
        </w:rPr>
        <w:t xml:space="preserve"> </w:t>
      </w:r>
    </w:p>
    <w:p w:rsidR="001C20D8" w:rsidRDefault="00961B13" w:rsidP="00280B9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7A56FA">
        <w:rPr>
          <w:rFonts w:ascii="Arial" w:hAnsi="Arial" w:cs="Arial"/>
        </w:rPr>
        <w:t xml:space="preserve">V loňském roce </w:t>
      </w:r>
      <w:r>
        <w:rPr>
          <w:rFonts w:ascii="Arial" w:hAnsi="Arial" w:cs="Arial"/>
        </w:rPr>
        <w:t>developeři jen v Praze</w:t>
      </w:r>
      <w:r w:rsidRPr="007A56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prodali asi 6500 nových bytů za </w:t>
      </w:r>
      <w:r w:rsidR="008775E9">
        <w:rPr>
          <w:rFonts w:ascii="Arial" w:hAnsi="Arial" w:cs="Arial"/>
        </w:rPr>
        <w:t>více než</w:t>
      </w:r>
      <w:r w:rsidR="001C20D8">
        <w:rPr>
          <w:rFonts w:ascii="Arial" w:hAnsi="Arial" w:cs="Arial"/>
        </w:rPr>
        <w:t xml:space="preserve"> 22 miliard korun</w:t>
      </w:r>
      <w:r>
        <w:rPr>
          <w:rFonts w:ascii="Arial" w:hAnsi="Arial" w:cs="Arial"/>
        </w:rPr>
        <w:t xml:space="preserve">, meziročně tak jde o nárůst o 15 procent.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Group, který je největším domácím developerem a investorem nového bydlení, loni prodal 1009 bytů, meziročně o 20 procent více. Každý šestý nový byt v Praze tak byl loni od </w:t>
      </w:r>
      <w:proofErr w:type="spellStart"/>
      <w:proofErr w:type="gramStart"/>
      <w:r>
        <w:rPr>
          <w:rFonts w:ascii="Arial" w:hAnsi="Arial" w:cs="Arial"/>
        </w:rPr>
        <w:t>Central</w:t>
      </w:r>
      <w:proofErr w:type="spellEnd"/>
      <w:proofErr w:type="gramEnd"/>
      <w:r>
        <w:rPr>
          <w:rFonts w:ascii="Arial" w:hAnsi="Arial" w:cs="Arial"/>
        </w:rPr>
        <w:t xml:space="preserve"> Group.</w:t>
      </w:r>
      <w:r w:rsidRPr="00894C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Letos Kunovský očekává další zvýšení prodeje bytů v Praze řádově o deset procent tedy na úroveň 7200 bytů a </w:t>
      </w:r>
      <w:r w:rsidR="008775E9">
        <w:rPr>
          <w:rFonts w:ascii="Arial" w:hAnsi="Arial" w:cs="Arial"/>
        </w:rPr>
        <w:t xml:space="preserve">další </w:t>
      </w:r>
      <w:r>
        <w:rPr>
          <w:rFonts w:ascii="Arial" w:hAnsi="Arial" w:cs="Arial"/>
        </w:rPr>
        <w:t>mírný růst cen.</w:t>
      </w:r>
      <w:r w:rsidR="00455314">
        <w:rPr>
          <w:rFonts w:ascii="Arial" w:hAnsi="Arial" w:cs="Arial"/>
        </w:rPr>
        <w:t xml:space="preserve"> </w:t>
      </w:r>
    </w:p>
    <w:p w:rsidR="00961B13" w:rsidRPr="007A56FA" w:rsidRDefault="00961B13" w:rsidP="00961B13">
      <w:pPr>
        <w:jc w:val="both"/>
        <w:rPr>
          <w:rFonts w:ascii="Arial" w:hAnsi="Arial" w:cs="Arial"/>
          <w:b/>
        </w:rPr>
      </w:pPr>
      <w:r w:rsidRPr="007A56FA">
        <w:rPr>
          <w:rFonts w:ascii="Arial" w:hAnsi="Arial" w:cs="Arial"/>
          <w:b/>
        </w:rPr>
        <w:t>Podíl nákupů bytů financovaných hypotékou rostl</w:t>
      </w:r>
    </w:p>
    <w:p w:rsidR="00345315" w:rsidRDefault="002B6A47" w:rsidP="00345315">
      <w:pPr>
        <w:spacing w:before="100" w:beforeAutospacing="1" w:after="100" w:afterAutospacing="1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</w:rPr>
        <w:t xml:space="preserve">Růst poptávky ovlivnily především levné hypotéky. </w:t>
      </w:r>
      <w:r w:rsidR="00961B13" w:rsidRPr="00A65A5D">
        <w:rPr>
          <w:rFonts w:ascii="Arial" w:hAnsi="Arial" w:cs="Arial"/>
        </w:rPr>
        <w:t xml:space="preserve">Na celkovém počtu </w:t>
      </w:r>
      <w:r w:rsidR="00280B99">
        <w:rPr>
          <w:rFonts w:ascii="Arial" w:hAnsi="Arial" w:cs="Arial"/>
        </w:rPr>
        <w:t xml:space="preserve">prodejů </w:t>
      </w:r>
      <w:proofErr w:type="spellStart"/>
      <w:r w:rsidR="00961B13" w:rsidRPr="00A65A5D">
        <w:rPr>
          <w:rFonts w:ascii="Arial" w:hAnsi="Arial" w:cs="Arial"/>
        </w:rPr>
        <w:t>Central</w:t>
      </w:r>
      <w:proofErr w:type="spellEnd"/>
      <w:r w:rsidR="00961B13" w:rsidRPr="00A65A5D">
        <w:rPr>
          <w:rFonts w:ascii="Arial" w:hAnsi="Arial" w:cs="Arial"/>
        </w:rPr>
        <w:t xml:space="preserve"> Group</w:t>
      </w:r>
      <w:r w:rsidR="002B6BEB">
        <w:rPr>
          <w:rFonts w:ascii="Arial" w:hAnsi="Arial" w:cs="Arial"/>
        </w:rPr>
        <w:t xml:space="preserve"> se nákupy financované hypotékou</w:t>
      </w:r>
      <w:r w:rsidR="00340542">
        <w:rPr>
          <w:rFonts w:ascii="Arial" w:hAnsi="Arial" w:cs="Arial"/>
        </w:rPr>
        <w:t>,</w:t>
      </w:r>
      <w:r w:rsidR="002B6BEB">
        <w:rPr>
          <w:rFonts w:ascii="Arial" w:hAnsi="Arial" w:cs="Arial"/>
        </w:rPr>
        <w:t xml:space="preserve"> podílely </w:t>
      </w:r>
      <w:r>
        <w:rPr>
          <w:rFonts w:ascii="Arial" w:hAnsi="Arial" w:cs="Arial"/>
        </w:rPr>
        <w:t>téměř polovinou</w:t>
      </w:r>
      <w:r w:rsidR="00961B13" w:rsidRPr="00A65A5D">
        <w:rPr>
          <w:rFonts w:ascii="Arial" w:hAnsi="Arial" w:cs="Arial"/>
        </w:rPr>
        <w:t>. Meziročně počet bytů hrazených hypotékou vzrostl.</w:t>
      </w:r>
      <w:r w:rsidR="00961B13">
        <w:rPr>
          <w:rFonts w:ascii="Arial" w:hAnsi="Arial" w:cs="Arial"/>
        </w:rPr>
        <w:t xml:space="preserve"> Nákupy financované </w:t>
      </w:r>
      <w:r w:rsidR="001C20D8">
        <w:rPr>
          <w:rFonts w:ascii="Arial" w:hAnsi="Arial" w:cs="Arial"/>
        </w:rPr>
        <w:t>z vlastních zdrojů</w:t>
      </w:r>
      <w:r w:rsidR="00961B13">
        <w:rPr>
          <w:rFonts w:ascii="Arial" w:hAnsi="Arial" w:cs="Arial"/>
        </w:rPr>
        <w:t xml:space="preserve"> nebo formou ročního odkladu platby naopak mírně o jednotky procent klesly. Celý meziroční nárůst prodejů o téměř 20 procent z předloňských 847 bytů na loňských 1009 tak jde na vrub levným hypotékám. </w:t>
      </w:r>
      <w:r w:rsidR="00345315" w:rsidRPr="000D2D5D">
        <w:rPr>
          <w:rFonts w:ascii="Arial" w:hAnsi="Arial" w:cs="Arial"/>
          <w:lang w:eastAsia="cs-CZ"/>
        </w:rPr>
        <w:t xml:space="preserve">Na tento trend zareagoval </w:t>
      </w:r>
      <w:proofErr w:type="spellStart"/>
      <w:r w:rsidR="00345315" w:rsidRPr="000D2D5D">
        <w:rPr>
          <w:rFonts w:ascii="Arial" w:hAnsi="Arial" w:cs="Arial"/>
          <w:lang w:eastAsia="cs-CZ"/>
        </w:rPr>
        <w:t>Central</w:t>
      </w:r>
      <w:proofErr w:type="spellEnd"/>
      <w:r w:rsidR="00345315" w:rsidRPr="000D2D5D">
        <w:rPr>
          <w:rFonts w:ascii="Arial" w:hAnsi="Arial" w:cs="Arial"/>
          <w:lang w:eastAsia="cs-CZ"/>
        </w:rPr>
        <w:t xml:space="preserve"> Group nabídkou výhodné hypotéky s garantovanou úrokovou sazbou ve výši 1,</w:t>
      </w:r>
      <w:r w:rsidR="001C20D8">
        <w:rPr>
          <w:rFonts w:ascii="Arial" w:hAnsi="Arial" w:cs="Arial"/>
          <w:lang w:eastAsia="cs-CZ"/>
        </w:rPr>
        <w:t>8</w:t>
      </w:r>
      <w:r w:rsidR="00345315" w:rsidRPr="000D2D5D">
        <w:rPr>
          <w:rFonts w:ascii="Arial" w:hAnsi="Arial" w:cs="Arial"/>
          <w:lang w:eastAsia="cs-CZ"/>
        </w:rPr>
        <w:t>9 procenta ročně při fixaci úvěru na</w:t>
      </w:r>
      <w:r w:rsidR="00345315">
        <w:rPr>
          <w:rFonts w:ascii="Arial" w:hAnsi="Arial" w:cs="Arial"/>
          <w:lang w:eastAsia="cs-CZ"/>
        </w:rPr>
        <w:t xml:space="preserve"> tři až pět let</w:t>
      </w:r>
      <w:r w:rsidR="00345315" w:rsidRPr="000D2D5D">
        <w:rPr>
          <w:rFonts w:ascii="Arial" w:hAnsi="Arial" w:cs="Arial"/>
          <w:lang w:eastAsia="cs-CZ"/>
        </w:rPr>
        <w:t>.</w:t>
      </w:r>
      <w:r w:rsidR="001C20D8">
        <w:rPr>
          <w:rFonts w:ascii="Arial" w:hAnsi="Arial" w:cs="Arial"/>
          <w:lang w:eastAsia="cs-CZ"/>
        </w:rPr>
        <w:t xml:space="preserve"> Klienti se mohou spolehnout také na rychlé vyřízení hypotéky </w:t>
      </w:r>
      <w:r w:rsidR="00280B99">
        <w:rPr>
          <w:rFonts w:ascii="Arial" w:hAnsi="Arial" w:cs="Arial"/>
          <w:lang w:eastAsia="cs-CZ"/>
        </w:rPr>
        <w:t>zdarma poradci</w:t>
      </w:r>
      <w:r w:rsidR="001C20D8">
        <w:rPr>
          <w:rFonts w:ascii="Arial" w:hAnsi="Arial" w:cs="Arial"/>
          <w:lang w:eastAsia="cs-CZ"/>
        </w:rPr>
        <w:t xml:space="preserve"> </w:t>
      </w:r>
      <w:proofErr w:type="spellStart"/>
      <w:r w:rsidR="001C20D8">
        <w:rPr>
          <w:rFonts w:ascii="Arial" w:hAnsi="Arial" w:cs="Arial"/>
          <w:lang w:eastAsia="cs-CZ"/>
        </w:rPr>
        <w:t>Central</w:t>
      </w:r>
      <w:proofErr w:type="spellEnd"/>
      <w:r w:rsidR="001C20D8">
        <w:rPr>
          <w:rFonts w:ascii="Arial" w:hAnsi="Arial" w:cs="Arial"/>
          <w:lang w:eastAsia="cs-CZ"/>
        </w:rPr>
        <w:t xml:space="preserve"> Group.</w:t>
      </w:r>
    </w:p>
    <w:p w:rsidR="00345315" w:rsidRPr="000D2D5D" w:rsidRDefault="00345315" w:rsidP="00345315">
      <w:pPr>
        <w:spacing w:before="100" w:beforeAutospacing="1" w:after="100" w:afterAutospacing="1"/>
        <w:contextualSpacing/>
        <w:jc w:val="both"/>
        <w:rPr>
          <w:rFonts w:ascii="Arial" w:hAnsi="Arial" w:cs="Arial"/>
          <w:lang w:eastAsia="cs-CZ"/>
        </w:rPr>
      </w:pPr>
    </w:p>
    <w:p w:rsidR="00961B13" w:rsidRDefault="00961B13" w:rsidP="00961B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Kromě možnosti platby hypotékou a </w:t>
      </w:r>
      <w:r w:rsidR="001C20D8">
        <w:rPr>
          <w:rFonts w:ascii="Arial" w:hAnsi="Arial" w:cs="Arial"/>
        </w:rPr>
        <w:t>z vlastních zdrojů</w:t>
      </w:r>
      <w:r>
        <w:rPr>
          <w:rFonts w:ascii="Arial" w:hAnsi="Arial" w:cs="Arial"/>
        </w:rPr>
        <w:t xml:space="preserve"> nabízí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 unikátní službu – odklad platby až na rok. Lidem stačí zaplatit desetiprocentní zálohu a mohou se nastěhovat a zbytek ceny bytu doplatit až do roka.</w:t>
      </w:r>
      <w:r w:rsidR="005A32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Mají tak dostatek času například na prodej svého současného bytu, případně vyřízení rozvodu manželů, dořešení dědického řízení apod. Tento typ platby využilo loni více než 30 procent klientů </w:t>
      </w:r>
      <w:proofErr w:type="spellStart"/>
      <w:r>
        <w:rPr>
          <w:rFonts w:ascii="Arial" w:hAnsi="Arial" w:cs="Arial"/>
        </w:rPr>
        <w:t>Central</w:t>
      </w:r>
      <w:proofErr w:type="spellEnd"/>
      <w:r>
        <w:rPr>
          <w:rFonts w:ascii="Arial" w:hAnsi="Arial" w:cs="Arial"/>
        </w:rPr>
        <w:t xml:space="preserve"> Group. </w:t>
      </w:r>
      <w:r w:rsidR="00345315">
        <w:rPr>
          <w:rFonts w:ascii="Arial" w:hAnsi="Arial" w:cs="Arial"/>
        </w:rPr>
        <w:t xml:space="preserve">Zájem o něj mají především </w:t>
      </w:r>
      <w:r w:rsidR="005A3203">
        <w:rPr>
          <w:rFonts w:ascii="Arial" w:hAnsi="Arial" w:cs="Arial"/>
        </w:rPr>
        <w:t xml:space="preserve">právě cizinci, pro které je v Česku složitější získat hypotéku, nebo pro které je hypotéka v zemích jejich původu dražší než využití odkladu platby. </w:t>
      </w:r>
      <w:r>
        <w:rPr>
          <w:rFonts w:ascii="Arial" w:hAnsi="Arial" w:cs="Arial"/>
        </w:rPr>
        <w:t xml:space="preserve">Nákup v hotovosti hradilo 21 procent zákazníků. </w:t>
      </w:r>
    </w:p>
    <w:p w:rsidR="00961B13" w:rsidRDefault="00961B13" w:rsidP="00961B1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D2D5D" w:rsidRP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  <w:bookmarkStart w:id="0" w:name="_GoBack"/>
      <w:bookmarkEnd w:id="0"/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A3203" w:rsidRDefault="005A3203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A3203" w:rsidRDefault="005A3203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A3203" w:rsidRDefault="005A3203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5315" w:rsidRDefault="00345315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A3203" w:rsidRDefault="005A3203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5A3203" w:rsidRDefault="005A3203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0542" w:rsidRDefault="00340542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0542" w:rsidRDefault="00340542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340542" w:rsidRDefault="00340542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0D2D5D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Pr="00136DD9" w:rsidRDefault="000D2D5D" w:rsidP="00BF14CC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0D2D5D" w:rsidRDefault="000D2D5D" w:rsidP="00C075D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075DD" w:rsidRDefault="00C075DD" w:rsidP="00C075DD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8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C075DD" w:rsidRDefault="00C075DD" w:rsidP="00C075D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075DD" w:rsidRDefault="00C075DD" w:rsidP="00C075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Za 21 let svého působení firma dokončila již více než 135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C075DD" w:rsidRDefault="00C075DD" w:rsidP="00C075DD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C075DD" w:rsidRDefault="00C075DD" w:rsidP="00C075D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C075DD" w:rsidRDefault="00C075DD" w:rsidP="00C075DD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C075DD" w:rsidRDefault="00C075DD" w:rsidP="00C075DD">
      <w:pPr>
        <w:spacing w:after="0" w:line="240" w:lineRule="auto"/>
        <w:jc w:val="both"/>
        <w:rPr>
          <w:rFonts w:ascii="Arial" w:hAnsi="Arial" w:cs="Arial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p w:rsidR="00101297" w:rsidRPr="00136B59" w:rsidRDefault="007731D8" w:rsidP="00C075DD">
      <w:pPr>
        <w:spacing w:after="0"/>
        <w:contextualSpacing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</w:p>
    <w:sectPr w:rsidR="00101297" w:rsidRPr="00136B59" w:rsidSect="004E4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17032"/>
    <w:rsid w:val="00024764"/>
    <w:rsid w:val="000267C4"/>
    <w:rsid w:val="0002687F"/>
    <w:rsid w:val="0003162C"/>
    <w:rsid w:val="000336D2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83BA8"/>
    <w:rsid w:val="0008492F"/>
    <w:rsid w:val="00085F81"/>
    <w:rsid w:val="000865A5"/>
    <w:rsid w:val="00091E8A"/>
    <w:rsid w:val="00097FFC"/>
    <w:rsid w:val="000A0381"/>
    <w:rsid w:val="000A2C12"/>
    <w:rsid w:val="000A555C"/>
    <w:rsid w:val="000C1853"/>
    <w:rsid w:val="000C61A9"/>
    <w:rsid w:val="000D2CE8"/>
    <w:rsid w:val="000D2D5D"/>
    <w:rsid w:val="000D6F5E"/>
    <w:rsid w:val="000D7AAD"/>
    <w:rsid w:val="000F76D9"/>
    <w:rsid w:val="00113643"/>
    <w:rsid w:val="001159D8"/>
    <w:rsid w:val="00136B59"/>
    <w:rsid w:val="00136DD9"/>
    <w:rsid w:val="0014189D"/>
    <w:rsid w:val="00147D32"/>
    <w:rsid w:val="00160996"/>
    <w:rsid w:val="00167393"/>
    <w:rsid w:val="00167EA3"/>
    <w:rsid w:val="00175BC6"/>
    <w:rsid w:val="00176DB2"/>
    <w:rsid w:val="001825B3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20D8"/>
    <w:rsid w:val="001D7759"/>
    <w:rsid w:val="001E5C33"/>
    <w:rsid w:val="001F00A9"/>
    <w:rsid w:val="001F5AAF"/>
    <w:rsid w:val="001F5F25"/>
    <w:rsid w:val="001F75D0"/>
    <w:rsid w:val="002024C8"/>
    <w:rsid w:val="002039FC"/>
    <w:rsid w:val="00214B9A"/>
    <w:rsid w:val="00234852"/>
    <w:rsid w:val="002442D9"/>
    <w:rsid w:val="00253B9A"/>
    <w:rsid w:val="00265E94"/>
    <w:rsid w:val="002802F5"/>
    <w:rsid w:val="00280B99"/>
    <w:rsid w:val="00282554"/>
    <w:rsid w:val="00283463"/>
    <w:rsid w:val="002A1D9E"/>
    <w:rsid w:val="002A355F"/>
    <w:rsid w:val="002A5494"/>
    <w:rsid w:val="002B22EC"/>
    <w:rsid w:val="002B2E77"/>
    <w:rsid w:val="002B34A2"/>
    <w:rsid w:val="002B5751"/>
    <w:rsid w:val="002B6A47"/>
    <w:rsid w:val="002B6BEB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568A"/>
    <w:rsid w:val="00316A88"/>
    <w:rsid w:val="00340542"/>
    <w:rsid w:val="00345315"/>
    <w:rsid w:val="0035330E"/>
    <w:rsid w:val="00354906"/>
    <w:rsid w:val="00364E18"/>
    <w:rsid w:val="00371D32"/>
    <w:rsid w:val="0038164F"/>
    <w:rsid w:val="00390D9B"/>
    <w:rsid w:val="003973E3"/>
    <w:rsid w:val="003975FB"/>
    <w:rsid w:val="003A4846"/>
    <w:rsid w:val="003B20BE"/>
    <w:rsid w:val="003C4264"/>
    <w:rsid w:val="003E25B5"/>
    <w:rsid w:val="003E3EEE"/>
    <w:rsid w:val="003E4FDA"/>
    <w:rsid w:val="003F4A3F"/>
    <w:rsid w:val="003F7CA1"/>
    <w:rsid w:val="004065D6"/>
    <w:rsid w:val="00407D1B"/>
    <w:rsid w:val="0041092C"/>
    <w:rsid w:val="00416096"/>
    <w:rsid w:val="0042143D"/>
    <w:rsid w:val="00423B06"/>
    <w:rsid w:val="00424803"/>
    <w:rsid w:val="00425B70"/>
    <w:rsid w:val="004269C0"/>
    <w:rsid w:val="0043290F"/>
    <w:rsid w:val="00455314"/>
    <w:rsid w:val="00470BAB"/>
    <w:rsid w:val="00487B16"/>
    <w:rsid w:val="004952C9"/>
    <w:rsid w:val="0049638C"/>
    <w:rsid w:val="00496B6A"/>
    <w:rsid w:val="004B31B4"/>
    <w:rsid w:val="004B7B91"/>
    <w:rsid w:val="004C0A81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405D8"/>
    <w:rsid w:val="00542901"/>
    <w:rsid w:val="00543480"/>
    <w:rsid w:val="00543E13"/>
    <w:rsid w:val="00567B05"/>
    <w:rsid w:val="00573A57"/>
    <w:rsid w:val="00574BF9"/>
    <w:rsid w:val="00575350"/>
    <w:rsid w:val="00582D61"/>
    <w:rsid w:val="005A3203"/>
    <w:rsid w:val="005A33B1"/>
    <w:rsid w:val="005A6A33"/>
    <w:rsid w:val="005B681C"/>
    <w:rsid w:val="005C710A"/>
    <w:rsid w:val="005E2124"/>
    <w:rsid w:val="005E3227"/>
    <w:rsid w:val="005E441A"/>
    <w:rsid w:val="005F5002"/>
    <w:rsid w:val="005F730C"/>
    <w:rsid w:val="00605851"/>
    <w:rsid w:val="006113F4"/>
    <w:rsid w:val="00612999"/>
    <w:rsid w:val="00612D3F"/>
    <w:rsid w:val="00612F63"/>
    <w:rsid w:val="00613E4C"/>
    <w:rsid w:val="00615401"/>
    <w:rsid w:val="00615AC2"/>
    <w:rsid w:val="00621B9E"/>
    <w:rsid w:val="00624443"/>
    <w:rsid w:val="006278BF"/>
    <w:rsid w:val="006331B3"/>
    <w:rsid w:val="006362FC"/>
    <w:rsid w:val="006474BF"/>
    <w:rsid w:val="0066277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522D"/>
    <w:rsid w:val="006C6EA1"/>
    <w:rsid w:val="006D0799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63F6"/>
    <w:rsid w:val="0076032C"/>
    <w:rsid w:val="00762126"/>
    <w:rsid w:val="0078361B"/>
    <w:rsid w:val="007871D4"/>
    <w:rsid w:val="00790072"/>
    <w:rsid w:val="00796713"/>
    <w:rsid w:val="00796CBD"/>
    <w:rsid w:val="007A53B0"/>
    <w:rsid w:val="007A68B8"/>
    <w:rsid w:val="007B31F2"/>
    <w:rsid w:val="007B53F9"/>
    <w:rsid w:val="007B6D27"/>
    <w:rsid w:val="007C45B0"/>
    <w:rsid w:val="007C5FFD"/>
    <w:rsid w:val="007C6D19"/>
    <w:rsid w:val="007D1A76"/>
    <w:rsid w:val="007F0C40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2D87"/>
    <w:rsid w:val="00873AC5"/>
    <w:rsid w:val="008774E5"/>
    <w:rsid w:val="008775E9"/>
    <w:rsid w:val="00890210"/>
    <w:rsid w:val="008A4FF8"/>
    <w:rsid w:val="008B3EE2"/>
    <w:rsid w:val="008B7191"/>
    <w:rsid w:val="008C749F"/>
    <w:rsid w:val="008D19FA"/>
    <w:rsid w:val="008D48D6"/>
    <w:rsid w:val="008D59B4"/>
    <w:rsid w:val="008E2D03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474F"/>
    <w:rsid w:val="00937B27"/>
    <w:rsid w:val="0094738D"/>
    <w:rsid w:val="00947B21"/>
    <w:rsid w:val="00951E2C"/>
    <w:rsid w:val="00955050"/>
    <w:rsid w:val="00961B13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6AAD"/>
    <w:rsid w:val="00A712EF"/>
    <w:rsid w:val="00A742F4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F2749"/>
    <w:rsid w:val="00AF7E13"/>
    <w:rsid w:val="00B0091D"/>
    <w:rsid w:val="00B00ADD"/>
    <w:rsid w:val="00B00B91"/>
    <w:rsid w:val="00B15BD1"/>
    <w:rsid w:val="00B21B82"/>
    <w:rsid w:val="00B222EB"/>
    <w:rsid w:val="00B238D8"/>
    <w:rsid w:val="00B27B22"/>
    <w:rsid w:val="00B41391"/>
    <w:rsid w:val="00B4172D"/>
    <w:rsid w:val="00B538CF"/>
    <w:rsid w:val="00B60727"/>
    <w:rsid w:val="00B67D94"/>
    <w:rsid w:val="00B7066A"/>
    <w:rsid w:val="00B824C4"/>
    <w:rsid w:val="00B947A5"/>
    <w:rsid w:val="00B97F83"/>
    <w:rsid w:val="00BA2020"/>
    <w:rsid w:val="00BA3F4B"/>
    <w:rsid w:val="00BB0782"/>
    <w:rsid w:val="00BB3311"/>
    <w:rsid w:val="00BB4211"/>
    <w:rsid w:val="00BB55B5"/>
    <w:rsid w:val="00BB7952"/>
    <w:rsid w:val="00BB7E91"/>
    <w:rsid w:val="00BC1FBC"/>
    <w:rsid w:val="00BE0CE4"/>
    <w:rsid w:val="00BE3A45"/>
    <w:rsid w:val="00BE4E6E"/>
    <w:rsid w:val="00BF14CC"/>
    <w:rsid w:val="00BF658E"/>
    <w:rsid w:val="00C075DD"/>
    <w:rsid w:val="00C1171C"/>
    <w:rsid w:val="00C311B7"/>
    <w:rsid w:val="00C3154B"/>
    <w:rsid w:val="00C3267B"/>
    <w:rsid w:val="00C3325A"/>
    <w:rsid w:val="00C50EB7"/>
    <w:rsid w:val="00C51093"/>
    <w:rsid w:val="00C5699A"/>
    <w:rsid w:val="00C621FC"/>
    <w:rsid w:val="00C67AEB"/>
    <w:rsid w:val="00C802DC"/>
    <w:rsid w:val="00C80C4D"/>
    <w:rsid w:val="00C812FA"/>
    <w:rsid w:val="00C828CD"/>
    <w:rsid w:val="00C964AD"/>
    <w:rsid w:val="00C97FF5"/>
    <w:rsid w:val="00CA4B80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43126"/>
    <w:rsid w:val="00D435EE"/>
    <w:rsid w:val="00D45D3D"/>
    <w:rsid w:val="00D63698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C25"/>
    <w:rsid w:val="00DB0093"/>
    <w:rsid w:val="00DB1D60"/>
    <w:rsid w:val="00DB449E"/>
    <w:rsid w:val="00DB7D7C"/>
    <w:rsid w:val="00DC0373"/>
    <w:rsid w:val="00DC192A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13370"/>
    <w:rsid w:val="00E16198"/>
    <w:rsid w:val="00E21574"/>
    <w:rsid w:val="00E25B7E"/>
    <w:rsid w:val="00E25CD7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15BF5"/>
    <w:rsid w:val="00F254AD"/>
    <w:rsid w:val="00F31011"/>
    <w:rsid w:val="00F64DA9"/>
    <w:rsid w:val="00F66BB9"/>
    <w:rsid w:val="00F71634"/>
    <w:rsid w:val="00F80AF7"/>
    <w:rsid w:val="00F91226"/>
    <w:rsid w:val="00FA0394"/>
    <w:rsid w:val="00FB3096"/>
    <w:rsid w:val="00FC3BB1"/>
    <w:rsid w:val="00FD23C2"/>
    <w:rsid w:val="00FD40F0"/>
    <w:rsid w:val="00FD52E9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33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3533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central-grou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proc-central-grou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entral-group.cz/tiskove-zpravy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jemelka\AppData\Local\Temp\www.central-grou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86A8-BCE0-4E94-B38B-FB413835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2</cp:revision>
  <cp:lastPrinted>2016-02-02T12:16:00Z</cp:lastPrinted>
  <dcterms:created xsi:type="dcterms:W3CDTF">2016-02-03T09:58:00Z</dcterms:created>
  <dcterms:modified xsi:type="dcterms:W3CDTF">2016-02-03T09:58:00Z</dcterms:modified>
</cp:coreProperties>
</file>