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8" w:rsidRPr="005C778A" w:rsidRDefault="0007256E" w:rsidP="00BC28D3">
      <w:pPr>
        <w:pStyle w:val="Nadpis1"/>
        <w:rPr>
          <w:rStyle w:val="Siln"/>
          <w:rFonts w:ascii="Arial Black" w:hAnsi="Arial Black"/>
          <w:b/>
          <w:bCs/>
          <w:color w:val="000000" w:themeColor="text1"/>
          <w:sz w:val="32"/>
          <w:szCs w:val="32"/>
        </w:rPr>
      </w:pPr>
      <w:r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 xml:space="preserve">Rezidenční </w:t>
      </w:r>
      <w:proofErr w:type="spellStart"/>
      <w:r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>development</w:t>
      </w:r>
      <w:proofErr w:type="spellEnd"/>
      <w:r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 xml:space="preserve"> bude příští rok </w:t>
      </w:r>
      <w:r w:rsidR="00891F40"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 xml:space="preserve">jedním z hlavních </w:t>
      </w:r>
      <w:r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>motor</w:t>
      </w:r>
      <w:r w:rsidR="00891F40"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>ů</w:t>
      </w:r>
      <w:r w:rsidRPr="005C778A">
        <w:rPr>
          <w:rStyle w:val="Siln"/>
          <w:rFonts w:ascii="Arial Black" w:hAnsi="Arial Black"/>
          <w:color w:val="000000" w:themeColor="text1"/>
          <w:sz w:val="32"/>
          <w:szCs w:val="32"/>
        </w:rPr>
        <w:t xml:space="preserve"> stavebnictví</w:t>
      </w:r>
    </w:p>
    <w:p w:rsidR="0007256E" w:rsidRDefault="0007256E" w:rsidP="0007256E">
      <w:pPr>
        <w:pStyle w:val="Nadpis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Praha, </w:t>
      </w:r>
      <w:r w:rsidR="004E50C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7.</w:t>
      </w: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 </w:t>
      </w:r>
      <w:r w:rsidR="004E50C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12</w:t>
      </w:r>
      <w:r w:rsidR="0063331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.</w:t>
      </w: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 </w:t>
      </w:r>
      <w:r w:rsidR="0063331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2015</w:t>
      </w:r>
      <w:r w:rsidRPr="0007256E">
        <w:rPr>
          <w:rFonts w:ascii="Arial" w:hAnsi="Arial" w:cs="Arial"/>
          <w:color w:val="auto"/>
          <w:sz w:val="22"/>
          <w:szCs w:val="22"/>
        </w:rPr>
        <w:t xml:space="preserve"> </w:t>
      </w:r>
      <w:r w:rsidRPr="0007256E">
        <w:rPr>
          <w:rFonts w:ascii="Arial" w:hAnsi="Arial" w:cs="Arial"/>
          <w:b w:val="0"/>
          <w:color w:val="auto"/>
          <w:sz w:val="22"/>
          <w:szCs w:val="22"/>
        </w:rPr>
        <w:t xml:space="preserve">– </w:t>
      </w:r>
      <w:r w:rsidR="00891F40">
        <w:rPr>
          <w:rFonts w:ascii="Arial" w:hAnsi="Arial" w:cs="Arial"/>
          <w:color w:val="auto"/>
          <w:sz w:val="22"/>
          <w:szCs w:val="22"/>
        </w:rPr>
        <w:t xml:space="preserve">Rezidenční </w:t>
      </w:r>
      <w:proofErr w:type="spellStart"/>
      <w:r w:rsidR="00891F40">
        <w:rPr>
          <w:rFonts w:ascii="Arial" w:hAnsi="Arial" w:cs="Arial"/>
          <w:color w:val="auto"/>
          <w:sz w:val="22"/>
          <w:szCs w:val="22"/>
        </w:rPr>
        <w:t>develo</w:t>
      </w:r>
      <w:r w:rsidR="00891F40" w:rsidRPr="00891F40">
        <w:rPr>
          <w:rFonts w:ascii="Arial" w:hAnsi="Arial" w:cs="Arial"/>
          <w:color w:val="auto"/>
          <w:sz w:val="22"/>
          <w:szCs w:val="22"/>
        </w:rPr>
        <w:t>pment</w:t>
      </w:r>
      <w:proofErr w:type="spellEnd"/>
      <w:r w:rsidR="00891F40" w:rsidRPr="00891F40">
        <w:rPr>
          <w:rFonts w:ascii="Arial" w:hAnsi="Arial" w:cs="Arial"/>
          <w:color w:val="auto"/>
          <w:sz w:val="22"/>
          <w:szCs w:val="22"/>
        </w:rPr>
        <w:t xml:space="preserve"> se v příštím roce bude ještě výrazněji podílet na růstu stavebnictví</w:t>
      </w:r>
      <w:r w:rsidR="005C778A">
        <w:rPr>
          <w:rFonts w:ascii="Arial" w:hAnsi="Arial" w:cs="Arial"/>
          <w:color w:val="auto"/>
          <w:sz w:val="22"/>
          <w:szCs w:val="22"/>
        </w:rPr>
        <w:t>. To</w:t>
      </w:r>
      <w:r w:rsidR="00891F40">
        <w:rPr>
          <w:rFonts w:ascii="Arial" w:hAnsi="Arial" w:cs="Arial"/>
          <w:color w:val="auto"/>
          <w:sz w:val="22"/>
          <w:szCs w:val="22"/>
        </w:rPr>
        <w:t xml:space="preserve"> podle aktuálních dat ČSÚ </w:t>
      </w:r>
      <w:r w:rsidR="007E25B5">
        <w:rPr>
          <w:rFonts w:ascii="Arial" w:hAnsi="Arial" w:cs="Arial"/>
          <w:color w:val="auto"/>
          <w:sz w:val="22"/>
          <w:szCs w:val="22"/>
        </w:rPr>
        <w:t xml:space="preserve">sice </w:t>
      </w:r>
      <w:r w:rsidR="00891F40">
        <w:rPr>
          <w:rFonts w:ascii="Arial" w:hAnsi="Arial" w:cs="Arial"/>
          <w:color w:val="auto"/>
          <w:sz w:val="22"/>
          <w:szCs w:val="22"/>
        </w:rPr>
        <w:t xml:space="preserve">za říjen </w:t>
      </w:r>
      <w:r w:rsidR="005C778A">
        <w:rPr>
          <w:rFonts w:ascii="Arial" w:hAnsi="Arial" w:cs="Arial"/>
          <w:color w:val="auto"/>
          <w:sz w:val="22"/>
          <w:szCs w:val="22"/>
        </w:rPr>
        <w:t xml:space="preserve">kleslo </w:t>
      </w:r>
      <w:r w:rsidR="00891F40">
        <w:rPr>
          <w:rFonts w:ascii="Arial" w:hAnsi="Arial" w:cs="Arial"/>
          <w:color w:val="auto"/>
          <w:sz w:val="22"/>
          <w:szCs w:val="22"/>
        </w:rPr>
        <w:t>o</w:t>
      </w:r>
      <w:r w:rsidR="00C83B5D">
        <w:rPr>
          <w:rFonts w:ascii="Arial" w:hAnsi="Arial" w:cs="Arial"/>
          <w:color w:val="auto"/>
          <w:sz w:val="22"/>
          <w:szCs w:val="22"/>
        </w:rPr>
        <w:t xml:space="preserve"> 1,3</w:t>
      </w:r>
      <w:r w:rsidR="00410D4E">
        <w:rPr>
          <w:rFonts w:ascii="Arial" w:hAnsi="Arial" w:cs="Arial"/>
          <w:color w:val="auto"/>
          <w:sz w:val="22"/>
          <w:szCs w:val="22"/>
        </w:rPr>
        <w:t xml:space="preserve"> </w:t>
      </w:r>
      <w:r w:rsidR="00C83B5D">
        <w:rPr>
          <w:rFonts w:ascii="Arial" w:hAnsi="Arial" w:cs="Arial"/>
          <w:color w:val="auto"/>
          <w:sz w:val="22"/>
          <w:szCs w:val="22"/>
        </w:rPr>
        <w:t>p</w:t>
      </w:r>
      <w:r w:rsidR="00891F40">
        <w:rPr>
          <w:rFonts w:ascii="Arial" w:hAnsi="Arial" w:cs="Arial"/>
          <w:color w:val="auto"/>
          <w:sz w:val="22"/>
          <w:szCs w:val="22"/>
        </w:rPr>
        <w:t>rocent</w:t>
      </w:r>
      <w:r w:rsidR="00C83B5D">
        <w:rPr>
          <w:rFonts w:ascii="Arial" w:hAnsi="Arial" w:cs="Arial"/>
          <w:color w:val="auto"/>
          <w:sz w:val="22"/>
          <w:szCs w:val="22"/>
        </w:rPr>
        <w:t xml:space="preserve">a, </w:t>
      </w:r>
      <w:r w:rsidR="00891F40">
        <w:rPr>
          <w:rFonts w:ascii="Arial" w:hAnsi="Arial" w:cs="Arial"/>
          <w:color w:val="auto"/>
          <w:sz w:val="22"/>
          <w:szCs w:val="22"/>
        </w:rPr>
        <w:t>podle odhadů</w:t>
      </w:r>
      <w:r w:rsidR="00FA2DFD">
        <w:rPr>
          <w:rFonts w:ascii="Arial" w:hAnsi="Arial" w:cs="Arial"/>
          <w:color w:val="auto"/>
          <w:sz w:val="22"/>
          <w:szCs w:val="22"/>
        </w:rPr>
        <w:t xml:space="preserve"> odborníků</w:t>
      </w:r>
      <w:r w:rsidR="00891F40">
        <w:rPr>
          <w:rFonts w:ascii="Arial" w:hAnsi="Arial" w:cs="Arial"/>
          <w:color w:val="auto"/>
          <w:sz w:val="22"/>
          <w:szCs w:val="22"/>
        </w:rPr>
        <w:t xml:space="preserve"> </w:t>
      </w:r>
      <w:r w:rsidR="00C83B5D">
        <w:rPr>
          <w:rFonts w:ascii="Arial" w:hAnsi="Arial" w:cs="Arial"/>
          <w:color w:val="auto"/>
          <w:sz w:val="22"/>
          <w:szCs w:val="22"/>
        </w:rPr>
        <w:t xml:space="preserve">ale příští rok </w:t>
      </w:r>
      <w:r w:rsidR="00891F40">
        <w:rPr>
          <w:rFonts w:ascii="Arial" w:hAnsi="Arial" w:cs="Arial"/>
          <w:color w:val="auto"/>
          <w:sz w:val="22"/>
          <w:szCs w:val="22"/>
        </w:rPr>
        <w:t>poroste</w:t>
      </w:r>
      <w:r w:rsidR="00FA2DFD">
        <w:rPr>
          <w:rFonts w:ascii="Arial" w:hAnsi="Arial" w:cs="Arial"/>
          <w:color w:val="auto"/>
          <w:sz w:val="22"/>
          <w:szCs w:val="22"/>
        </w:rPr>
        <w:t xml:space="preserve"> 4,5procentním</w:t>
      </w:r>
      <w:r w:rsidR="00891F40">
        <w:rPr>
          <w:rFonts w:ascii="Arial" w:hAnsi="Arial" w:cs="Arial"/>
          <w:color w:val="auto"/>
          <w:sz w:val="22"/>
          <w:szCs w:val="22"/>
        </w:rPr>
        <w:t xml:space="preserve"> tempem</w:t>
      </w:r>
      <w:r w:rsidR="00C83B5D">
        <w:rPr>
          <w:rFonts w:ascii="Arial" w:hAnsi="Arial" w:cs="Arial"/>
          <w:color w:val="auto"/>
          <w:sz w:val="22"/>
          <w:szCs w:val="22"/>
        </w:rPr>
        <w:t>*</w:t>
      </w:r>
      <w:r w:rsidR="00891F40">
        <w:rPr>
          <w:rFonts w:ascii="Arial" w:hAnsi="Arial" w:cs="Arial"/>
          <w:color w:val="auto"/>
          <w:sz w:val="22"/>
          <w:szCs w:val="22"/>
        </w:rPr>
        <w:t>.</w:t>
      </w:r>
      <w:r w:rsidR="00891F4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7256E">
        <w:rPr>
          <w:rFonts w:ascii="Arial" w:hAnsi="Arial" w:cs="Arial"/>
          <w:color w:val="auto"/>
          <w:sz w:val="22"/>
          <w:szCs w:val="22"/>
        </w:rPr>
        <w:t xml:space="preserve">Největší český rezidenční developer </w:t>
      </w:r>
      <w:r>
        <w:rPr>
          <w:rFonts w:ascii="Arial" w:hAnsi="Arial" w:cs="Arial"/>
          <w:color w:val="auto"/>
          <w:sz w:val="22"/>
          <w:szCs w:val="22"/>
        </w:rPr>
        <w:t xml:space="preserve">a investor nové bytové výstavby </w:t>
      </w:r>
      <w:r w:rsidRPr="0007256E">
        <w:rPr>
          <w:rFonts w:ascii="Arial" w:hAnsi="Arial" w:cs="Arial"/>
          <w:color w:val="auto"/>
          <w:sz w:val="22"/>
          <w:szCs w:val="22"/>
        </w:rPr>
        <w:t xml:space="preserve">CENTRAL GROUP </w:t>
      </w:r>
      <w:r w:rsidR="005C778A">
        <w:rPr>
          <w:rFonts w:ascii="Arial" w:hAnsi="Arial" w:cs="Arial"/>
          <w:color w:val="auto"/>
          <w:sz w:val="22"/>
          <w:szCs w:val="22"/>
        </w:rPr>
        <w:t>se na tomto růstu bude významně podílet</w:t>
      </w:r>
      <w:r w:rsidR="00891F40">
        <w:rPr>
          <w:rFonts w:ascii="Arial" w:hAnsi="Arial" w:cs="Arial"/>
          <w:color w:val="auto"/>
          <w:sz w:val="22"/>
          <w:szCs w:val="22"/>
        </w:rPr>
        <w:t>. M</w:t>
      </w:r>
      <w:r w:rsidR="009512EA">
        <w:rPr>
          <w:rFonts w:ascii="Arial" w:hAnsi="Arial" w:cs="Arial"/>
          <w:color w:val="auto"/>
          <w:sz w:val="22"/>
          <w:szCs w:val="22"/>
        </w:rPr>
        <w:t>así</w:t>
      </w:r>
      <w:r w:rsidRPr="0007256E">
        <w:rPr>
          <w:rFonts w:ascii="Arial" w:hAnsi="Arial" w:cs="Arial"/>
          <w:color w:val="auto"/>
          <w:sz w:val="22"/>
          <w:szCs w:val="22"/>
        </w:rPr>
        <w:t>vně investuje a stavební branži tak pomáhá k</w:t>
      </w:r>
      <w:r w:rsidR="007E25B5">
        <w:rPr>
          <w:rFonts w:ascii="Arial" w:hAnsi="Arial" w:cs="Arial"/>
          <w:color w:val="auto"/>
          <w:sz w:val="22"/>
          <w:szCs w:val="22"/>
        </w:rPr>
        <w:t> obrácení trendu z krizových let</w:t>
      </w:r>
      <w:r w:rsidRPr="0007256E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91F40">
        <w:rPr>
          <w:rFonts w:ascii="Arial" w:hAnsi="Arial" w:cs="Arial"/>
          <w:color w:val="auto"/>
          <w:sz w:val="22"/>
          <w:szCs w:val="22"/>
        </w:rPr>
        <w:t>Aktuálně</w:t>
      </w:r>
      <w:r w:rsidRPr="0007256E">
        <w:rPr>
          <w:rFonts w:ascii="Arial" w:hAnsi="Arial" w:cs="Arial"/>
          <w:color w:val="000000" w:themeColor="text1"/>
          <w:sz w:val="22"/>
          <w:szCs w:val="22"/>
        </w:rPr>
        <w:t xml:space="preserve"> má </w:t>
      </w:r>
      <w:r w:rsidR="00891F40">
        <w:rPr>
          <w:rFonts w:ascii="Arial" w:hAnsi="Arial" w:cs="Arial"/>
          <w:color w:val="000000" w:themeColor="text1"/>
          <w:sz w:val="22"/>
          <w:szCs w:val="22"/>
        </w:rPr>
        <w:t xml:space="preserve">v Praze </w:t>
      </w:r>
      <w:r w:rsidRPr="0007256E">
        <w:rPr>
          <w:rFonts w:ascii="Arial" w:hAnsi="Arial" w:cs="Arial"/>
          <w:color w:val="000000" w:themeColor="text1"/>
          <w:sz w:val="22"/>
          <w:szCs w:val="22"/>
        </w:rPr>
        <w:t>rozestavěnu více než desítku velkých bytových projektů. S podobným objemem počítá i příští rok</w:t>
      </w:r>
      <w:r w:rsidR="009512EA">
        <w:rPr>
          <w:rFonts w:ascii="Arial" w:hAnsi="Arial" w:cs="Arial"/>
          <w:color w:val="000000" w:themeColor="text1"/>
          <w:sz w:val="22"/>
          <w:szCs w:val="22"/>
        </w:rPr>
        <w:t>, kdy se i</w:t>
      </w:r>
      <w:r w:rsidRPr="0007256E">
        <w:rPr>
          <w:rFonts w:ascii="Arial" w:hAnsi="Arial" w:cs="Arial"/>
          <w:color w:val="000000" w:themeColor="text1"/>
          <w:sz w:val="22"/>
          <w:szCs w:val="22"/>
        </w:rPr>
        <w:t xml:space="preserve">nvestiční hodnota </w:t>
      </w:r>
      <w:r w:rsidR="009512EA">
        <w:rPr>
          <w:rFonts w:ascii="Arial" w:hAnsi="Arial" w:cs="Arial"/>
          <w:color w:val="000000" w:themeColor="text1"/>
          <w:sz w:val="22"/>
          <w:szCs w:val="22"/>
        </w:rPr>
        <w:t xml:space="preserve">jeho </w:t>
      </w:r>
      <w:r w:rsidR="00FA2DFD">
        <w:rPr>
          <w:rFonts w:ascii="Arial" w:hAnsi="Arial" w:cs="Arial"/>
          <w:color w:val="000000" w:themeColor="text1"/>
          <w:sz w:val="22"/>
          <w:szCs w:val="22"/>
        </w:rPr>
        <w:t>rozestavěných bytů</w:t>
      </w:r>
      <w:r w:rsidRPr="0007256E">
        <w:rPr>
          <w:rFonts w:ascii="Arial" w:hAnsi="Arial" w:cs="Arial"/>
          <w:color w:val="000000" w:themeColor="text1"/>
          <w:sz w:val="22"/>
          <w:szCs w:val="22"/>
        </w:rPr>
        <w:t xml:space="preserve"> bude pohybovat kolem </w:t>
      </w:r>
      <w:r>
        <w:rPr>
          <w:rFonts w:ascii="Arial" w:hAnsi="Arial" w:cs="Arial"/>
          <w:color w:val="000000" w:themeColor="text1"/>
          <w:sz w:val="22"/>
          <w:szCs w:val="22"/>
        </w:rPr>
        <w:t>šesti</w:t>
      </w:r>
      <w:r w:rsidRPr="0007256E">
        <w:rPr>
          <w:rFonts w:ascii="Arial" w:hAnsi="Arial" w:cs="Arial"/>
          <w:color w:val="000000" w:themeColor="text1"/>
          <w:sz w:val="22"/>
          <w:szCs w:val="22"/>
        </w:rPr>
        <w:t xml:space="preserve"> miliard korun.</w:t>
      </w:r>
    </w:p>
    <w:p w:rsidR="0007256E" w:rsidRDefault="00041D0E" w:rsidP="0007256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CENTRAL GROUP je tak jedním ze soukromých investorů, který stabilně zadává vysoké zakázky stavebním firmám. </w:t>
      </w:r>
      <w:r w:rsidR="00891F40">
        <w:rPr>
          <w:rFonts w:ascii="Arial" w:hAnsi="Arial" w:cs="Arial"/>
          <w:sz w:val="22"/>
          <w:szCs w:val="22"/>
        </w:rPr>
        <w:t>A v</w:t>
      </w:r>
      <w:r>
        <w:rPr>
          <w:rFonts w:ascii="Arial" w:hAnsi="Arial" w:cs="Arial"/>
          <w:sz w:val="22"/>
          <w:szCs w:val="22"/>
        </w:rPr>
        <w:t xml:space="preserve">ýznam rezidenčního </w:t>
      </w:r>
      <w:proofErr w:type="spellStart"/>
      <w:r>
        <w:rPr>
          <w:rFonts w:ascii="Arial" w:hAnsi="Arial" w:cs="Arial"/>
          <w:sz w:val="22"/>
          <w:szCs w:val="22"/>
        </w:rPr>
        <w:t>developmentu</w:t>
      </w:r>
      <w:proofErr w:type="spellEnd"/>
      <w:r>
        <w:rPr>
          <w:rFonts w:ascii="Arial" w:hAnsi="Arial" w:cs="Arial"/>
          <w:sz w:val="22"/>
          <w:szCs w:val="22"/>
        </w:rPr>
        <w:t xml:space="preserve"> na celém stavebnictví v příštím roce zřejmě ještě poroste. </w:t>
      </w:r>
      <w:r w:rsidR="0007256E" w:rsidRPr="0007256E">
        <w:rPr>
          <w:rFonts w:ascii="Arial" w:hAnsi="Arial" w:cs="Arial"/>
          <w:sz w:val="22"/>
          <w:szCs w:val="22"/>
        </w:rPr>
        <w:t xml:space="preserve">Do stavebního průmyslu </w:t>
      </w:r>
      <w:r>
        <w:rPr>
          <w:rFonts w:ascii="Arial" w:hAnsi="Arial" w:cs="Arial"/>
          <w:sz w:val="22"/>
          <w:szCs w:val="22"/>
        </w:rPr>
        <w:t>totiž</w:t>
      </w:r>
      <w:r w:rsidR="0007256E" w:rsidRPr="0007256E">
        <w:rPr>
          <w:rFonts w:ascii="Arial" w:hAnsi="Arial" w:cs="Arial"/>
          <w:sz w:val="22"/>
          <w:szCs w:val="22"/>
        </w:rPr>
        <w:t xml:space="preserve"> velkou nejistotu vnáší </w:t>
      </w:r>
      <w:r w:rsidR="00891F40">
        <w:rPr>
          <w:rFonts w:ascii="Arial" w:hAnsi="Arial" w:cs="Arial"/>
          <w:sz w:val="22"/>
          <w:szCs w:val="22"/>
        </w:rPr>
        <w:t xml:space="preserve">nejasná </w:t>
      </w:r>
      <w:r w:rsidR="0007256E" w:rsidRPr="0007256E">
        <w:rPr>
          <w:rFonts w:ascii="Arial" w:hAnsi="Arial" w:cs="Arial"/>
          <w:sz w:val="22"/>
          <w:szCs w:val="22"/>
        </w:rPr>
        <w:t>perspektiva projektů, které se financují z veřejných zdrojů. Stavaři nevědí, jaký dopad bud</w:t>
      </w:r>
      <w:r>
        <w:rPr>
          <w:rFonts w:ascii="Arial" w:hAnsi="Arial" w:cs="Arial"/>
          <w:sz w:val="22"/>
          <w:szCs w:val="22"/>
        </w:rPr>
        <w:t>e</w:t>
      </w:r>
      <w:r w:rsidR="0007256E" w:rsidRPr="0007256E">
        <w:rPr>
          <w:rFonts w:ascii="Arial" w:hAnsi="Arial" w:cs="Arial"/>
          <w:sz w:val="22"/>
          <w:szCs w:val="22"/>
        </w:rPr>
        <w:t xml:space="preserve"> mít nová legislativa posuzování vlivu na životní prostředí na dopravní stavby. </w:t>
      </w:r>
      <w:r w:rsidR="005C778A">
        <w:rPr>
          <w:rFonts w:ascii="Arial" w:hAnsi="Arial" w:cs="Arial"/>
          <w:sz w:val="22"/>
          <w:szCs w:val="22"/>
        </w:rPr>
        <w:t>Vázne</w:t>
      </w:r>
      <w:r w:rsidR="0007256E" w:rsidRPr="0007256E">
        <w:rPr>
          <w:rFonts w:ascii="Arial" w:hAnsi="Arial" w:cs="Arial"/>
          <w:sz w:val="22"/>
          <w:szCs w:val="22"/>
        </w:rPr>
        <w:t xml:space="preserve"> projednávání veřejných zakázek. Novela stavebního zákona je v nedohlednu. Není proto jisté, které projekty se podaří včas dotáhnout, zadat a </w:t>
      </w:r>
      <w:r w:rsidR="00891F40">
        <w:rPr>
          <w:rFonts w:ascii="Arial" w:hAnsi="Arial" w:cs="Arial"/>
          <w:sz w:val="22"/>
          <w:szCs w:val="22"/>
        </w:rPr>
        <w:t>zahájit jejich realizaci</w:t>
      </w:r>
      <w:r w:rsidR="0007256E" w:rsidRPr="0007256E">
        <w:rPr>
          <w:rFonts w:ascii="Arial" w:hAnsi="Arial" w:cs="Arial"/>
          <w:sz w:val="22"/>
          <w:szCs w:val="22"/>
        </w:rPr>
        <w:t xml:space="preserve">. </w:t>
      </w:r>
      <w:r w:rsidR="00891F40" w:rsidRPr="00891F40">
        <w:rPr>
          <w:rFonts w:ascii="Arial" w:hAnsi="Arial" w:cs="Arial"/>
          <w:i/>
          <w:sz w:val="22"/>
          <w:szCs w:val="22"/>
        </w:rPr>
        <w:t>„</w:t>
      </w:r>
      <w:r w:rsidRPr="00891F40">
        <w:rPr>
          <w:rFonts w:ascii="Arial" w:hAnsi="Arial" w:cs="Arial"/>
          <w:i/>
          <w:sz w:val="22"/>
          <w:szCs w:val="22"/>
        </w:rPr>
        <w:t xml:space="preserve">V této situaci jsou stabilní zakázky od soukromých investorů pro stavebnictví </w:t>
      </w:r>
      <w:r w:rsidR="00891F40" w:rsidRPr="00891F40">
        <w:rPr>
          <w:rFonts w:ascii="Arial" w:hAnsi="Arial" w:cs="Arial"/>
          <w:i/>
          <w:sz w:val="22"/>
          <w:szCs w:val="22"/>
        </w:rPr>
        <w:t xml:space="preserve">doslova </w:t>
      </w:r>
      <w:r w:rsidRPr="00891F40">
        <w:rPr>
          <w:rFonts w:ascii="Arial" w:hAnsi="Arial" w:cs="Arial"/>
          <w:i/>
          <w:sz w:val="22"/>
          <w:szCs w:val="22"/>
        </w:rPr>
        <w:t>záchranou</w:t>
      </w:r>
      <w:r w:rsidR="00891F40" w:rsidRPr="00891F40">
        <w:rPr>
          <w:rFonts w:ascii="Arial" w:hAnsi="Arial" w:cs="Arial"/>
          <w:i/>
          <w:sz w:val="22"/>
          <w:szCs w:val="22"/>
        </w:rPr>
        <w:t>,“</w:t>
      </w:r>
      <w:r w:rsidR="00891F40">
        <w:rPr>
          <w:rFonts w:ascii="Arial" w:hAnsi="Arial" w:cs="Arial"/>
          <w:sz w:val="22"/>
          <w:szCs w:val="22"/>
        </w:rPr>
        <w:t xml:space="preserve"> řekl šéf CENTRAL GROUP Dušan Kunovský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83B5D" w:rsidRDefault="00F34794" w:rsidP="0007256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07256E">
        <w:rPr>
          <w:rFonts w:ascii="Arial" w:hAnsi="Arial" w:cs="Arial"/>
          <w:sz w:val="22"/>
          <w:szCs w:val="22"/>
        </w:rPr>
        <w:t xml:space="preserve">Poptávka po nových bytech vytrvale roste, což se </w:t>
      </w:r>
      <w:r w:rsidR="004C5829" w:rsidRPr="0007256E">
        <w:rPr>
          <w:rFonts w:ascii="Arial" w:hAnsi="Arial" w:cs="Arial"/>
          <w:sz w:val="22"/>
          <w:szCs w:val="22"/>
        </w:rPr>
        <w:t>automaticky</w:t>
      </w:r>
      <w:r w:rsidRPr="0007256E">
        <w:rPr>
          <w:rFonts w:ascii="Arial" w:hAnsi="Arial" w:cs="Arial"/>
          <w:sz w:val="22"/>
          <w:szCs w:val="22"/>
        </w:rPr>
        <w:t xml:space="preserve"> promítá i do poptávky rezidenčních developerů po stavebních pracích</w:t>
      </w:r>
      <w:r w:rsidR="00041D0E">
        <w:rPr>
          <w:rFonts w:ascii="Arial" w:hAnsi="Arial" w:cs="Arial"/>
          <w:sz w:val="22"/>
          <w:szCs w:val="22"/>
        </w:rPr>
        <w:t xml:space="preserve">. CENTRAL GROUP jako </w:t>
      </w:r>
      <w:r w:rsidRPr="00041D0E">
        <w:rPr>
          <w:rFonts w:ascii="Arial" w:hAnsi="Arial" w:cs="Arial"/>
          <w:sz w:val="22"/>
          <w:szCs w:val="22"/>
        </w:rPr>
        <w:t>kapitálově nejsilnější český rezidenční developer věnuje maximální pozornost výběru dodavatelů a kontrole kvality. J</w:t>
      </w:r>
      <w:r w:rsidR="00041D0E">
        <w:rPr>
          <w:rFonts w:ascii="Arial" w:hAnsi="Arial" w:cs="Arial"/>
          <w:sz w:val="22"/>
          <w:szCs w:val="22"/>
        </w:rPr>
        <w:t>e</w:t>
      </w:r>
      <w:r w:rsidRPr="00041D0E">
        <w:rPr>
          <w:rFonts w:ascii="Arial" w:hAnsi="Arial" w:cs="Arial"/>
          <w:sz w:val="22"/>
          <w:szCs w:val="22"/>
        </w:rPr>
        <w:t xml:space="preserve"> největším hráčem na poli stavebních zakázek v bytové výstavbě v Praze. Každý rok za stavební práce utrácí miliardy korun</w:t>
      </w:r>
      <w:r w:rsidRPr="0007256E">
        <w:rPr>
          <w:rFonts w:ascii="Arial" w:hAnsi="Arial" w:cs="Arial"/>
          <w:i/>
          <w:sz w:val="22"/>
          <w:szCs w:val="22"/>
        </w:rPr>
        <w:t>.</w:t>
      </w:r>
      <w:r w:rsidR="00041D0E">
        <w:rPr>
          <w:rFonts w:ascii="Arial" w:hAnsi="Arial" w:cs="Arial"/>
          <w:i/>
          <w:sz w:val="22"/>
          <w:szCs w:val="22"/>
        </w:rPr>
        <w:t xml:space="preserve"> </w:t>
      </w:r>
      <w:r w:rsidRPr="0007256E">
        <w:rPr>
          <w:rFonts w:ascii="Arial" w:hAnsi="Arial" w:cs="Arial"/>
          <w:sz w:val="22"/>
          <w:szCs w:val="22"/>
        </w:rPr>
        <w:t>Pro C</w:t>
      </w:r>
      <w:r w:rsidR="00041D0E">
        <w:rPr>
          <w:rFonts w:ascii="Arial" w:hAnsi="Arial" w:cs="Arial"/>
          <w:sz w:val="22"/>
          <w:szCs w:val="22"/>
        </w:rPr>
        <w:t>ENTRAL GROUP</w:t>
      </w:r>
      <w:r w:rsidRPr="0007256E">
        <w:rPr>
          <w:rFonts w:ascii="Arial" w:hAnsi="Arial" w:cs="Arial"/>
          <w:sz w:val="22"/>
          <w:szCs w:val="22"/>
        </w:rPr>
        <w:t xml:space="preserve"> staví ty největší a nejzavedenější společnosti</w:t>
      </w:r>
      <w:r w:rsidR="00410D4E">
        <w:rPr>
          <w:rFonts w:ascii="Arial" w:hAnsi="Arial" w:cs="Arial"/>
          <w:sz w:val="22"/>
          <w:szCs w:val="22"/>
        </w:rPr>
        <w:t>, jako</w:t>
      </w:r>
      <w:r w:rsidRPr="0007256E">
        <w:rPr>
          <w:rFonts w:ascii="Arial" w:hAnsi="Arial" w:cs="Arial"/>
          <w:sz w:val="22"/>
          <w:szCs w:val="22"/>
        </w:rPr>
        <w:t xml:space="preserve"> </w:t>
      </w:r>
      <w:r w:rsidR="00891F40">
        <w:rPr>
          <w:rFonts w:ascii="Arial" w:hAnsi="Arial" w:cs="Arial"/>
          <w:sz w:val="22"/>
          <w:szCs w:val="22"/>
        </w:rPr>
        <w:t>například</w:t>
      </w:r>
      <w:r w:rsidRPr="0007256E">
        <w:rPr>
          <w:rFonts w:ascii="Arial" w:hAnsi="Arial" w:cs="Arial"/>
          <w:sz w:val="22"/>
          <w:szCs w:val="22"/>
        </w:rPr>
        <w:t xml:space="preserve"> Metrostav, </w:t>
      </w:r>
      <w:proofErr w:type="spellStart"/>
      <w:r w:rsidRPr="0007256E">
        <w:rPr>
          <w:rFonts w:ascii="Arial" w:hAnsi="Arial" w:cs="Arial"/>
          <w:sz w:val="22"/>
          <w:szCs w:val="22"/>
        </w:rPr>
        <w:t>Průmstav</w:t>
      </w:r>
      <w:proofErr w:type="spellEnd"/>
      <w:r w:rsidR="005C778A">
        <w:rPr>
          <w:rFonts w:ascii="Arial" w:hAnsi="Arial" w:cs="Arial"/>
          <w:sz w:val="22"/>
          <w:szCs w:val="22"/>
        </w:rPr>
        <w:t xml:space="preserve"> nebo</w:t>
      </w:r>
      <w:r w:rsidRPr="000725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56E">
        <w:rPr>
          <w:rFonts w:ascii="Arial" w:hAnsi="Arial" w:cs="Arial"/>
          <w:sz w:val="22"/>
          <w:szCs w:val="22"/>
        </w:rPr>
        <w:t>Subterra</w:t>
      </w:r>
      <w:proofErr w:type="spellEnd"/>
      <w:r w:rsidRPr="0007256E">
        <w:rPr>
          <w:rFonts w:ascii="Arial" w:hAnsi="Arial" w:cs="Arial"/>
          <w:sz w:val="22"/>
          <w:szCs w:val="22"/>
        </w:rPr>
        <w:t xml:space="preserve">. </w:t>
      </w:r>
    </w:p>
    <w:p w:rsidR="00041D0E" w:rsidRDefault="00462473" w:rsidP="0007256E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současnosti má CENTRAL GROUP rozestavěno více než 1800 bytů, v nejvyšší sezóně to letos bylo dokonce 1975 bytů. Zatím firma letos dokončila 600 bytů a do konce roku přidá ještě dalších 260 bytů. Prodala</w:t>
      </w:r>
      <w:r w:rsidR="00410D4E">
        <w:rPr>
          <w:rFonts w:ascii="Arial" w:hAnsi="Arial" w:cs="Arial"/>
          <w:sz w:val="22"/>
          <w:szCs w:val="22"/>
        </w:rPr>
        <w:t xml:space="preserve"> koncovým uživatelům</w:t>
      </w:r>
      <w:r>
        <w:rPr>
          <w:rFonts w:ascii="Arial" w:hAnsi="Arial" w:cs="Arial"/>
          <w:sz w:val="22"/>
          <w:szCs w:val="22"/>
        </w:rPr>
        <w:t xml:space="preserve"> letos již více než 900 bytů a do konce roku by to mohlo být více než 1000 bytů, což by </w:t>
      </w:r>
      <w:r w:rsidR="00410D4E">
        <w:rPr>
          <w:rFonts w:ascii="Arial" w:hAnsi="Arial" w:cs="Arial"/>
          <w:sz w:val="22"/>
          <w:szCs w:val="22"/>
        </w:rPr>
        <w:t>znamenalo</w:t>
      </w:r>
      <w:r>
        <w:rPr>
          <w:rFonts w:ascii="Arial" w:hAnsi="Arial" w:cs="Arial"/>
          <w:sz w:val="22"/>
          <w:szCs w:val="22"/>
        </w:rPr>
        <w:t xml:space="preserve"> meziroční růst o 18 procent.</w:t>
      </w:r>
      <w:r w:rsidR="00F34794" w:rsidRPr="0007256E">
        <w:rPr>
          <w:rFonts w:ascii="Arial" w:hAnsi="Arial" w:cs="Arial"/>
          <w:sz w:val="22"/>
          <w:szCs w:val="22"/>
        </w:rPr>
        <w:t xml:space="preserve"> </w:t>
      </w:r>
    </w:p>
    <w:p w:rsidR="00F34794" w:rsidRPr="0007256E" w:rsidRDefault="00F34794" w:rsidP="00041D0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7256E">
        <w:rPr>
          <w:rFonts w:ascii="Arial" w:hAnsi="Arial" w:cs="Arial"/>
          <w:b/>
          <w:sz w:val="22"/>
          <w:szCs w:val="22"/>
        </w:rPr>
        <w:t>Kvůli legislativnímu chaosu trh zůstává pod svým potenciálem</w:t>
      </w:r>
    </w:p>
    <w:p w:rsidR="005318F2" w:rsidRPr="0007256E" w:rsidRDefault="00410D4E" w:rsidP="00041D0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041D0E">
        <w:rPr>
          <w:rFonts w:ascii="Arial" w:hAnsi="Arial" w:cs="Arial"/>
          <w:sz w:val="22"/>
          <w:szCs w:val="22"/>
        </w:rPr>
        <w:t xml:space="preserve">rezidenční </w:t>
      </w:r>
      <w:proofErr w:type="spellStart"/>
      <w:r w:rsidR="00041D0E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ment</w:t>
      </w:r>
      <w:proofErr w:type="spellEnd"/>
      <w:r>
        <w:rPr>
          <w:rFonts w:ascii="Arial" w:hAnsi="Arial" w:cs="Arial"/>
          <w:sz w:val="22"/>
          <w:szCs w:val="22"/>
        </w:rPr>
        <w:t xml:space="preserve"> ale navzdory příznivým ekonomickým podmínkám musí čelit i určitým hrozbám</w:t>
      </w:r>
      <w:r w:rsidR="00041D0E">
        <w:rPr>
          <w:rFonts w:ascii="Arial" w:hAnsi="Arial" w:cs="Arial"/>
          <w:sz w:val="22"/>
          <w:szCs w:val="22"/>
        </w:rPr>
        <w:t>. Z</w:t>
      </w:r>
      <w:r w:rsidR="00F34794" w:rsidRPr="0007256E">
        <w:rPr>
          <w:rFonts w:ascii="Arial" w:hAnsi="Arial" w:cs="Arial"/>
          <w:sz w:val="22"/>
          <w:szCs w:val="22"/>
        </w:rPr>
        <w:t xml:space="preserve">ásoby připravených projektů </w:t>
      </w:r>
      <w:r>
        <w:rPr>
          <w:rFonts w:ascii="Arial" w:hAnsi="Arial" w:cs="Arial"/>
          <w:sz w:val="22"/>
          <w:szCs w:val="22"/>
        </w:rPr>
        <w:t xml:space="preserve">na trhu </w:t>
      </w:r>
      <w:r w:rsidR="00F34794" w:rsidRPr="0007256E">
        <w:rPr>
          <w:rFonts w:ascii="Arial" w:hAnsi="Arial" w:cs="Arial"/>
          <w:sz w:val="22"/>
          <w:szCs w:val="22"/>
        </w:rPr>
        <w:t xml:space="preserve">se </w:t>
      </w:r>
      <w:r w:rsidR="00041D0E">
        <w:rPr>
          <w:rFonts w:ascii="Arial" w:hAnsi="Arial" w:cs="Arial"/>
          <w:sz w:val="22"/>
          <w:szCs w:val="22"/>
        </w:rPr>
        <w:t xml:space="preserve">totiž </w:t>
      </w:r>
      <w:r w:rsidR="00F34794" w:rsidRPr="0007256E">
        <w:rPr>
          <w:rFonts w:ascii="Arial" w:hAnsi="Arial" w:cs="Arial"/>
          <w:sz w:val="22"/>
          <w:szCs w:val="22"/>
        </w:rPr>
        <w:t xml:space="preserve">rychle tenčí. Příprava nových investičních záměrů je složitější než kdy jindy. Důvodem je </w:t>
      </w:r>
      <w:r w:rsidR="00041D0E">
        <w:rPr>
          <w:rFonts w:ascii="Arial" w:hAnsi="Arial" w:cs="Arial"/>
          <w:sz w:val="22"/>
          <w:szCs w:val="22"/>
        </w:rPr>
        <w:t xml:space="preserve">současný </w:t>
      </w:r>
      <w:r w:rsidR="00F34794" w:rsidRPr="0007256E">
        <w:rPr>
          <w:rFonts w:ascii="Arial" w:hAnsi="Arial" w:cs="Arial"/>
          <w:sz w:val="22"/>
          <w:szCs w:val="22"/>
        </w:rPr>
        <w:t xml:space="preserve">legislativní chaos, který na trhu panuje. </w:t>
      </w:r>
      <w:r w:rsidR="005318F2" w:rsidRPr="0007256E">
        <w:rPr>
          <w:rFonts w:ascii="Arial" w:hAnsi="Arial" w:cs="Arial"/>
          <w:sz w:val="22"/>
          <w:szCs w:val="22"/>
        </w:rPr>
        <w:t>Nejvíc chybí novela stavebního zákona, která je pro fungování trhu klíčová.</w:t>
      </w:r>
    </w:p>
    <w:p w:rsidR="00041D0E" w:rsidRPr="0007256E" w:rsidRDefault="00F34794" w:rsidP="00891F4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F5916">
        <w:rPr>
          <w:rFonts w:ascii="Arial" w:hAnsi="Arial" w:cs="Arial"/>
          <w:sz w:val="22"/>
          <w:szCs w:val="22"/>
        </w:rPr>
        <w:t xml:space="preserve">Jak rezidenční </w:t>
      </w:r>
      <w:proofErr w:type="spellStart"/>
      <w:r w:rsidRPr="00FF5916">
        <w:rPr>
          <w:rFonts w:ascii="Arial" w:hAnsi="Arial" w:cs="Arial"/>
          <w:sz w:val="22"/>
          <w:szCs w:val="22"/>
        </w:rPr>
        <w:t>development</w:t>
      </w:r>
      <w:proofErr w:type="spellEnd"/>
      <w:r w:rsidRPr="00FF5916">
        <w:rPr>
          <w:rFonts w:ascii="Arial" w:hAnsi="Arial" w:cs="Arial"/>
          <w:sz w:val="22"/>
          <w:szCs w:val="22"/>
        </w:rPr>
        <w:t xml:space="preserve">, tak stavebnictví jako celek sice příští rok podle </w:t>
      </w:r>
      <w:r w:rsidR="009512EA">
        <w:rPr>
          <w:rFonts w:ascii="Arial" w:hAnsi="Arial" w:cs="Arial"/>
          <w:sz w:val="22"/>
          <w:szCs w:val="22"/>
        </w:rPr>
        <w:t>odborníků</w:t>
      </w:r>
      <w:r w:rsidRPr="00FF5916">
        <w:rPr>
          <w:rFonts w:ascii="Arial" w:hAnsi="Arial" w:cs="Arial"/>
          <w:sz w:val="22"/>
          <w:szCs w:val="22"/>
        </w:rPr>
        <w:t xml:space="preserve"> v oboru porostou.</w:t>
      </w:r>
      <w:r w:rsidRPr="00891F40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FF5916">
        <w:rPr>
          <w:rFonts w:ascii="Arial" w:hAnsi="Arial" w:cs="Arial"/>
          <w:i/>
          <w:sz w:val="22"/>
          <w:szCs w:val="22"/>
        </w:rPr>
        <w:t>„</w:t>
      </w:r>
      <w:r w:rsidR="00410D4E">
        <w:rPr>
          <w:rFonts w:ascii="Arial" w:hAnsi="Arial" w:cs="Arial"/>
          <w:i/>
          <w:sz w:val="22"/>
          <w:szCs w:val="22"/>
        </w:rPr>
        <w:t>Zdaleka ale n</w:t>
      </w:r>
      <w:r w:rsidRPr="00891F40">
        <w:rPr>
          <w:rFonts w:ascii="Arial" w:hAnsi="Arial" w:cs="Arial"/>
          <w:i/>
          <w:sz w:val="22"/>
          <w:szCs w:val="22"/>
        </w:rPr>
        <w:t xml:space="preserve">e </w:t>
      </w:r>
      <w:r w:rsidR="00410D4E">
        <w:rPr>
          <w:rFonts w:ascii="Arial" w:hAnsi="Arial" w:cs="Arial"/>
          <w:i/>
          <w:sz w:val="22"/>
          <w:szCs w:val="22"/>
        </w:rPr>
        <w:t>tak</w:t>
      </w:r>
      <w:r w:rsidRPr="00891F40">
        <w:rPr>
          <w:rFonts w:ascii="Arial" w:hAnsi="Arial" w:cs="Arial"/>
          <w:i/>
          <w:sz w:val="22"/>
          <w:szCs w:val="22"/>
        </w:rPr>
        <w:t>, jak by mohly. Povolovací procesy jsou nad</w:t>
      </w:r>
      <w:r w:rsidR="00E36BDF" w:rsidRPr="00891F40">
        <w:rPr>
          <w:rFonts w:ascii="Arial" w:hAnsi="Arial" w:cs="Arial"/>
          <w:i/>
          <w:sz w:val="22"/>
          <w:szCs w:val="22"/>
        </w:rPr>
        <w:t xml:space="preserve">ále nepřehledné, zdlouhavé a plné zvratů. To </w:t>
      </w:r>
      <w:r w:rsidR="005C778A">
        <w:rPr>
          <w:rFonts w:ascii="Arial" w:hAnsi="Arial" w:cs="Arial"/>
          <w:i/>
          <w:sz w:val="22"/>
          <w:szCs w:val="22"/>
        </w:rPr>
        <w:t>firmám v oboru</w:t>
      </w:r>
      <w:r w:rsidR="00E36BDF" w:rsidRPr="00891F40">
        <w:rPr>
          <w:rFonts w:ascii="Arial" w:hAnsi="Arial" w:cs="Arial"/>
          <w:i/>
          <w:sz w:val="22"/>
          <w:szCs w:val="22"/>
        </w:rPr>
        <w:t xml:space="preserve"> neumožňuje</w:t>
      </w:r>
      <w:r w:rsidRPr="00891F40">
        <w:rPr>
          <w:rFonts w:ascii="Arial" w:hAnsi="Arial" w:cs="Arial"/>
          <w:i/>
          <w:sz w:val="22"/>
          <w:szCs w:val="22"/>
        </w:rPr>
        <w:t xml:space="preserve"> zcela využít potenciál růstu, který česká ekonomika momentálně </w:t>
      </w:r>
      <w:r w:rsidR="00410D4E">
        <w:rPr>
          <w:rFonts w:ascii="Arial" w:hAnsi="Arial" w:cs="Arial"/>
          <w:i/>
          <w:sz w:val="22"/>
          <w:szCs w:val="22"/>
        </w:rPr>
        <w:t>nabízí</w:t>
      </w:r>
      <w:r w:rsidR="00891F40" w:rsidRPr="00891F40">
        <w:rPr>
          <w:rFonts w:ascii="Arial" w:hAnsi="Arial" w:cs="Arial"/>
          <w:i/>
          <w:sz w:val="22"/>
          <w:szCs w:val="22"/>
        </w:rPr>
        <w:t>,“</w:t>
      </w:r>
      <w:r w:rsidR="00891F40">
        <w:rPr>
          <w:rFonts w:ascii="Arial" w:hAnsi="Arial" w:cs="Arial"/>
          <w:sz w:val="22"/>
          <w:szCs w:val="22"/>
        </w:rPr>
        <w:t xml:space="preserve"> dodal Kunovský</w:t>
      </w:r>
      <w:r w:rsidRPr="0007256E">
        <w:rPr>
          <w:rFonts w:ascii="Arial" w:hAnsi="Arial" w:cs="Arial"/>
          <w:sz w:val="22"/>
          <w:szCs w:val="22"/>
        </w:rPr>
        <w:t>.</w:t>
      </w:r>
    </w:p>
    <w:p w:rsidR="00BD61EC" w:rsidRPr="00462473" w:rsidRDefault="00BD61EC" w:rsidP="00BD61EC">
      <w:pPr>
        <w:pStyle w:val="Normlnweb"/>
        <w:rPr>
          <w:rFonts w:ascii="Arial" w:hAnsi="Arial" w:cs="Arial"/>
          <w:i/>
          <w:sz w:val="20"/>
          <w:szCs w:val="20"/>
        </w:rPr>
      </w:pPr>
      <w:r w:rsidRPr="00462473">
        <w:rPr>
          <w:rFonts w:ascii="Arial" w:hAnsi="Arial" w:cs="Arial"/>
          <w:i/>
          <w:sz w:val="20"/>
          <w:szCs w:val="20"/>
        </w:rPr>
        <w:lastRenderedPageBreak/>
        <w:t xml:space="preserve">*Vyplývá to z analýzy českého stavebnictví, kterou zpracovala společnost CEEC </w:t>
      </w:r>
      <w:proofErr w:type="spellStart"/>
      <w:r w:rsidRPr="00462473">
        <w:rPr>
          <w:rFonts w:ascii="Arial" w:hAnsi="Arial" w:cs="Arial"/>
          <w:i/>
          <w:sz w:val="20"/>
          <w:szCs w:val="20"/>
        </w:rPr>
        <w:t>Research</w:t>
      </w:r>
      <w:proofErr w:type="spellEnd"/>
      <w:r w:rsidRPr="00462473">
        <w:rPr>
          <w:rFonts w:ascii="Arial" w:hAnsi="Arial" w:cs="Arial"/>
          <w:i/>
          <w:sz w:val="20"/>
          <w:szCs w:val="20"/>
        </w:rPr>
        <w:t xml:space="preserve">. </w:t>
      </w: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</w:t>
      </w:r>
      <w:r w:rsidR="0007256E">
        <w:rPr>
          <w:rFonts w:ascii="Arial" w:hAnsi="Arial" w:cs="Arial"/>
          <w:color w:val="000000"/>
          <w:sz w:val="16"/>
          <w:szCs w:val="16"/>
          <w:lang w:eastAsia="cs-CZ"/>
        </w:rPr>
        <w:t>arcela Fialková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7256E">
        <w:rPr>
          <w:rFonts w:ascii="Arial" w:hAnsi="Arial" w:cs="Arial"/>
          <w:color w:val="000000"/>
          <w:sz w:val="16"/>
          <w:szCs w:val="16"/>
          <w:lang w:eastAsia="cs-CZ"/>
        </w:rPr>
        <w:t>tisková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</w:t>
      </w:r>
      <w:r w:rsidR="0007256E">
        <w:rPr>
          <w:rFonts w:ascii="Arial" w:hAnsi="Arial" w:cs="Arial"/>
          <w:color w:val="000000"/>
          <w:sz w:val="16"/>
          <w:szCs w:val="16"/>
          <w:lang w:eastAsia="cs-CZ"/>
        </w:rPr>
        <w:t> 724 090 754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</w:t>
      </w:r>
      <w:r w:rsidR="0007256E">
        <w:rPr>
          <w:rFonts w:ascii="Arial" w:hAnsi="Arial" w:cs="Arial"/>
          <w:color w:val="000000"/>
          <w:sz w:val="16"/>
          <w:szCs w:val="16"/>
          <w:lang w:eastAsia="cs-CZ"/>
        </w:rPr>
        <w:t>á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 xml:space="preserve">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204F72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B9" w:rsidRDefault="002353B9" w:rsidP="00655B14">
      <w:pPr>
        <w:spacing w:after="0" w:line="240" w:lineRule="auto"/>
      </w:pPr>
      <w:r>
        <w:separator/>
      </w:r>
    </w:p>
  </w:endnote>
  <w:endnote w:type="continuationSeparator" w:id="0">
    <w:p w:rsidR="002353B9" w:rsidRDefault="002353B9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B9" w:rsidRDefault="002353B9" w:rsidP="00655B14">
      <w:pPr>
        <w:spacing w:after="0" w:line="240" w:lineRule="auto"/>
      </w:pPr>
      <w:r>
        <w:separator/>
      </w:r>
    </w:p>
  </w:footnote>
  <w:footnote w:type="continuationSeparator" w:id="0">
    <w:p w:rsidR="002353B9" w:rsidRDefault="002353B9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F19ED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56E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4E50C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204F72">
      <w:rPr>
        <w:color w:val="17365D"/>
        <w:sz w:val="30"/>
        <w:szCs w:val="30"/>
      </w:rPr>
      <w:t>.</w:t>
    </w:r>
    <w:r w:rsidR="0007256E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12</w:t>
    </w:r>
    <w:r w:rsidR="00655B14">
      <w:rPr>
        <w:color w:val="17365D"/>
        <w:sz w:val="30"/>
        <w:szCs w:val="30"/>
      </w:rPr>
      <w:t>.</w:t>
    </w:r>
    <w:r w:rsidR="0007256E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C6B"/>
    <w:multiLevelType w:val="hybridMultilevel"/>
    <w:tmpl w:val="75B07158"/>
    <w:lvl w:ilvl="0" w:tplc="A74E0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32F"/>
    <w:multiLevelType w:val="hybridMultilevel"/>
    <w:tmpl w:val="B97090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13B6"/>
    <w:rsid w:val="00041D0E"/>
    <w:rsid w:val="00041FA4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256E"/>
    <w:rsid w:val="00075196"/>
    <w:rsid w:val="00075EC3"/>
    <w:rsid w:val="000778E1"/>
    <w:rsid w:val="000831B6"/>
    <w:rsid w:val="00083BA8"/>
    <w:rsid w:val="0008492F"/>
    <w:rsid w:val="0008540C"/>
    <w:rsid w:val="00085F81"/>
    <w:rsid w:val="000865A5"/>
    <w:rsid w:val="00091E8A"/>
    <w:rsid w:val="000A0381"/>
    <w:rsid w:val="000A246C"/>
    <w:rsid w:val="000A2C12"/>
    <w:rsid w:val="000A555C"/>
    <w:rsid w:val="000B01A5"/>
    <w:rsid w:val="000B1F3B"/>
    <w:rsid w:val="000C111A"/>
    <w:rsid w:val="000C1853"/>
    <w:rsid w:val="000C61A9"/>
    <w:rsid w:val="000D0B58"/>
    <w:rsid w:val="000D29C7"/>
    <w:rsid w:val="000D2CE8"/>
    <w:rsid w:val="000D6F5E"/>
    <w:rsid w:val="000D7AAD"/>
    <w:rsid w:val="000F3C8F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04F72"/>
    <w:rsid w:val="0021271C"/>
    <w:rsid w:val="00214B9A"/>
    <w:rsid w:val="0022029B"/>
    <w:rsid w:val="00234852"/>
    <w:rsid w:val="002353B9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23CE"/>
    <w:rsid w:val="002A355F"/>
    <w:rsid w:val="002A50E7"/>
    <w:rsid w:val="002A5494"/>
    <w:rsid w:val="002B22EC"/>
    <w:rsid w:val="002B2E77"/>
    <w:rsid w:val="002B34A2"/>
    <w:rsid w:val="002C100F"/>
    <w:rsid w:val="002C53C3"/>
    <w:rsid w:val="002C5688"/>
    <w:rsid w:val="002D06F3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561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5392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3F611C"/>
    <w:rsid w:val="00404AE7"/>
    <w:rsid w:val="004065D6"/>
    <w:rsid w:val="00407D1B"/>
    <w:rsid w:val="0041092C"/>
    <w:rsid w:val="00410D4E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247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5829"/>
    <w:rsid w:val="004C68D5"/>
    <w:rsid w:val="004C79B0"/>
    <w:rsid w:val="004D14BF"/>
    <w:rsid w:val="004D230C"/>
    <w:rsid w:val="004D3EFE"/>
    <w:rsid w:val="004D718C"/>
    <w:rsid w:val="004E48FD"/>
    <w:rsid w:val="004E50C8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18F2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C778A"/>
    <w:rsid w:val="005D2328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36867"/>
    <w:rsid w:val="006474BF"/>
    <w:rsid w:val="006476A9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7BA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5D62"/>
    <w:rsid w:val="00700072"/>
    <w:rsid w:val="007012BA"/>
    <w:rsid w:val="007019D8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466E8"/>
    <w:rsid w:val="00751B24"/>
    <w:rsid w:val="0075276B"/>
    <w:rsid w:val="00755EC0"/>
    <w:rsid w:val="0076032C"/>
    <w:rsid w:val="00761239"/>
    <w:rsid w:val="00762126"/>
    <w:rsid w:val="00766721"/>
    <w:rsid w:val="00773D86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06C"/>
    <w:rsid w:val="007C2B1D"/>
    <w:rsid w:val="007C45B0"/>
    <w:rsid w:val="007C5FFD"/>
    <w:rsid w:val="007C6D19"/>
    <w:rsid w:val="007D1A76"/>
    <w:rsid w:val="007D62ED"/>
    <w:rsid w:val="007E0D15"/>
    <w:rsid w:val="007E25B5"/>
    <w:rsid w:val="007E4B22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16AB4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1987"/>
    <w:rsid w:val="008722DF"/>
    <w:rsid w:val="00873AC5"/>
    <w:rsid w:val="008774E5"/>
    <w:rsid w:val="008824CF"/>
    <w:rsid w:val="008872BA"/>
    <w:rsid w:val="00890210"/>
    <w:rsid w:val="00891F40"/>
    <w:rsid w:val="00894763"/>
    <w:rsid w:val="008949FC"/>
    <w:rsid w:val="00895F24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274D1"/>
    <w:rsid w:val="0093017D"/>
    <w:rsid w:val="009334FD"/>
    <w:rsid w:val="00934DF2"/>
    <w:rsid w:val="00937B27"/>
    <w:rsid w:val="0094452B"/>
    <w:rsid w:val="0094738D"/>
    <w:rsid w:val="00947B21"/>
    <w:rsid w:val="009512EA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941DB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4A4A"/>
    <w:rsid w:val="009D64BB"/>
    <w:rsid w:val="009D7C5B"/>
    <w:rsid w:val="009E60FC"/>
    <w:rsid w:val="009F09FC"/>
    <w:rsid w:val="009F1CF0"/>
    <w:rsid w:val="009F60C1"/>
    <w:rsid w:val="009F7062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1BCF"/>
    <w:rsid w:val="00AA0FAC"/>
    <w:rsid w:val="00AB1126"/>
    <w:rsid w:val="00AB1FC1"/>
    <w:rsid w:val="00AB25F5"/>
    <w:rsid w:val="00AB393B"/>
    <w:rsid w:val="00AB64DE"/>
    <w:rsid w:val="00AC17FA"/>
    <w:rsid w:val="00AC3700"/>
    <w:rsid w:val="00AD38CE"/>
    <w:rsid w:val="00AD3ACF"/>
    <w:rsid w:val="00AE045A"/>
    <w:rsid w:val="00AE1FD2"/>
    <w:rsid w:val="00AE2D7A"/>
    <w:rsid w:val="00AE42EC"/>
    <w:rsid w:val="00AE4F7C"/>
    <w:rsid w:val="00AE539F"/>
    <w:rsid w:val="00AF233B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00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28D3"/>
    <w:rsid w:val="00BC548E"/>
    <w:rsid w:val="00BD1C8F"/>
    <w:rsid w:val="00BD61EC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188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3B5D"/>
    <w:rsid w:val="00C87246"/>
    <w:rsid w:val="00C948E3"/>
    <w:rsid w:val="00C964AD"/>
    <w:rsid w:val="00C97FF5"/>
    <w:rsid w:val="00CA0BF3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2CE3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36BDF"/>
    <w:rsid w:val="00E442D7"/>
    <w:rsid w:val="00E444F3"/>
    <w:rsid w:val="00E51C0E"/>
    <w:rsid w:val="00E63445"/>
    <w:rsid w:val="00E652A9"/>
    <w:rsid w:val="00E672CE"/>
    <w:rsid w:val="00E6746A"/>
    <w:rsid w:val="00E741CF"/>
    <w:rsid w:val="00E830CF"/>
    <w:rsid w:val="00E875C9"/>
    <w:rsid w:val="00E95A05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4794"/>
    <w:rsid w:val="00F36A4D"/>
    <w:rsid w:val="00F37B3A"/>
    <w:rsid w:val="00F40767"/>
    <w:rsid w:val="00F64DA9"/>
    <w:rsid w:val="00F66BB9"/>
    <w:rsid w:val="00F67511"/>
    <w:rsid w:val="00F71634"/>
    <w:rsid w:val="00F80AF7"/>
    <w:rsid w:val="00F82D52"/>
    <w:rsid w:val="00F83112"/>
    <w:rsid w:val="00F86F64"/>
    <w:rsid w:val="00F91226"/>
    <w:rsid w:val="00F92C0A"/>
    <w:rsid w:val="00FA0394"/>
    <w:rsid w:val="00FA2DFD"/>
    <w:rsid w:val="00FA7D5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1FFD"/>
    <w:rsid w:val="00FE5B8F"/>
    <w:rsid w:val="00FE5EF3"/>
    <w:rsid w:val="00FF22D6"/>
    <w:rsid w:val="00FF591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E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4E50C8"/>
    <w:rPr>
      <w:b/>
      <w:bCs/>
    </w:rPr>
  </w:style>
  <w:style w:type="paragraph" w:styleId="Normlnweb">
    <w:name w:val="Normal (Web)"/>
    <w:basedOn w:val="Normln"/>
    <w:uiPriority w:val="99"/>
    <w:unhideWhenUsed/>
    <w:rsid w:val="00F3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E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4E50C8"/>
    <w:rPr>
      <w:b/>
      <w:bCs/>
    </w:rPr>
  </w:style>
  <w:style w:type="paragraph" w:styleId="Normlnweb">
    <w:name w:val="Normal (Web)"/>
    <w:basedOn w:val="Normln"/>
    <w:uiPriority w:val="99"/>
    <w:unhideWhenUsed/>
    <w:rsid w:val="00F3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7CF6-1493-4C76-8894-7A8577E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2015-12-07T10:22:00Z</cp:lastPrinted>
  <dcterms:created xsi:type="dcterms:W3CDTF">2015-12-07T11:56:00Z</dcterms:created>
  <dcterms:modified xsi:type="dcterms:W3CDTF">2015-12-07T11:56:00Z</dcterms:modified>
</cp:coreProperties>
</file>