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DA" w:rsidRPr="00C33FE8" w:rsidRDefault="003E4FDA" w:rsidP="00A75761">
      <w:pPr>
        <w:spacing w:after="0" w:line="264" w:lineRule="auto"/>
        <w:rPr>
          <w:rFonts w:ascii="Arial Black" w:hAnsi="Arial Black" w:cs="Arial"/>
          <w:b/>
          <w:sz w:val="26"/>
          <w:szCs w:val="26"/>
        </w:rPr>
      </w:pPr>
    </w:p>
    <w:p w:rsidR="003E4FDA" w:rsidRPr="00A01A93" w:rsidRDefault="00BF1DD3" w:rsidP="00C33FE8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  <w:r>
        <w:rPr>
          <w:rFonts w:ascii="Arial Black" w:hAnsi="Arial Black"/>
          <w:color w:val="000000" w:themeColor="text1"/>
          <w:sz w:val="34"/>
          <w:szCs w:val="34"/>
        </w:rPr>
        <w:t>Skutečně r</w:t>
      </w:r>
      <w:r w:rsidR="009220BB">
        <w:rPr>
          <w:rFonts w:ascii="Arial Black" w:hAnsi="Arial Black"/>
          <w:color w:val="000000" w:themeColor="text1"/>
          <w:sz w:val="34"/>
          <w:szCs w:val="34"/>
        </w:rPr>
        <w:t xml:space="preserve">ealizované ceny nových </w:t>
      </w:r>
      <w:r w:rsidR="006148ED">
        <w:rPr>
          <w:rFonts w:ascii="Arial Black" w:hAnsi="Arial Black"/>
          <w:color w:val="000000" w:themeColor="text1"/>
          <w:sz w:val="34"/>
          <w:szCs w:val="34"/>
        </w:rPr>
        <w:t>bytů rostou</w:t>
      </w:r>
      <w:r w:rsidR="00574AB5">
        <w:rPr>
          <w:rFonts w:ascii="Arial Black" w:hAnsi="Arial Black"/>
          <w:color w:val="000000" w:themeColor="text1"/>
          <w:sz w:val="34"/>
          <w:szCs w:val="34"/>
        </w:rPr>
        <w:t xml:space="preserve"> nepřetržitě</w:t>
      </w:r>
      <w:r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574AB5">
        <w:rPr>
          <w:rFonts w:ascii="Arial Black" w:hAnsi="Arial Black"/>
          <w:color w:val="000000" w:themeColor="text1"/>
          <w:sz w:val="34"/>
          <w:szCs w:val="34"/>
        </w:rPr>
        <w:t xml:space="preserve">od konce roku 2013. Za </w:t>
      </w:r>
      <w:r w:rsidR="009220BB">
        <w:rPr>
          <w:rFonts w:ascii="Arial Black" w:hAnsi="Arial Black"/>
          <w:color w:val="000000" w:themeColor="text1"/>
          <w:sz w:val="34"/>
          <w:szCs w:val="34"/>
        </w:rPr>
        <w:t xml:space="preserve">jejich </w:t>
      </w:r>
      <w:r w:rsidR="00574AB5">
        <w:rPr>
          <w:rFonts w:ascii="Arial Black" w:hAnsi="Arial Black"/>
          <w:color w:val="000000" w:themeColor="text1"/>
          <w:sz w:val="34"/>
          <w:szCs w:val="34"/>
        </w:rPr>
        <w:t xml:space="preserve">nárůstem stojí </w:t>
      </w:r>
      <w:r w:rsidR="009220BB">
        <w:rPr>
          <w:rFonts w:ascii="Arial Black" w:hAnsi="Arial Black"/>
          <w:color w:val="000000" w:themeColor="text1"/>
          <w:sz w:val="34"/>
          <w:szCs w:val="34"/>
        </w:rPr>
        <w:t xml:space="preserve">i </w:t>
      </w:r>
      <w:r w:rsidR="00182F69">
        <w:rPr>
          <w:rFonts w:ascii="Arial Black" w:hAnsi="Arial Black"/>
          <w:color w:val="000000" w:themeColor="text1"/>
          <w:sz w:val="34"/>
          <w:szCs w:val="34"/>
        </w:rPr>
        <w:t>přesun části poptávky</w:t>
      </w:r>
      <w:r w:rsidR="009220BB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6148ED">
        <w:rPr>
          <w:rFonts w:ascii="Arial Black" w:hAnsi="Arial Black"/>
          <w:color w:val="000000" w:themeColor="text1"/>
          <w:sz w:val="34"/>
          <w:szCs w:val="34"/>
        </w:rPr>
        <w:t xml:space="preserve">blíže centru Prahy </w:t>
      </w:r>
    </w:p>
    <w:p w:rsidR="00FF22D6" w:rsidRPr="00C33FE8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6"/>
          <w:szCs w:val="26"/>
        </w:rPr>
      </w:pPr>
    </w:p>
    <w:p w:rsidR="00D46859" w:rsidRDefault="006148ED" w:rsidP="00344915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10.8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574AB5">
        <w:rPr>
          <w:rFonts w:ascii="Arial" w:hAnsi="Arial" w:cs="Arial"/>
          <w:b/>
          <w:sz w:val="23"/>
          <w:szCs w:val="23"/>
          <w:lang w:eastAsia="cs-CZ"/>
        </w:rPr>
        <w:t xml:space="preserve">Průměrná </w:t>
      </w:r>
      <w:r w:rsidR="00575DE9">
        <w:rPr>
          <w:rFonts w:ascii="Arial" w:hAnsi="Arial" w:cs="Arial"/>
          <w:b/>
          <w:sz w:val="23"/>
          <w:szCs w:val="23"/>
          <w:lang w:eastAsia="cs-CZ"/>
        </w:rPr>
        <w:t xml:space="preserve">realizovaná </w:t>
      </w:r>
      <w:r w:rsidR="00574AB5">
        <w:rPr>
          <w:rFonts w:ascii="Arial" w:hAnsi="Arial" w:cs="Arial"/>
          <w:b/>
          <w:sz w:val="23"/>
          <w:szCs w:val="23"/>
          <w:lang w:eastAsia="cs-CZ"/>
        </w:rPr>
        <w:t>cena skutečně prodaných nových bytů největší české developerské společnosti CENTRAL GROUP se v posledních dvou letech zv</w:t>
      </w:r>
      <w:r w:rsidR="00B42407">
        <w:rPr>
          <w:rFonts w:ascii="Arial" w:hAnsi="Arial" w:cs="Arial"/>
          <w:b/>
          <w:sz w:val="23"/>
          <w:szCs w:val="23"/>
          <w:lang w:eastAsia="cs-CZ"/>
        </w:rPr>
        <w:t xml:space="preserve">ýšila zhruba o pětinu. I přesto prodává své </w:t>
      </w:r>
      <w:r w:rsidR="00574AB5">
        <w:rPr>
          <w:rFonts w:ascii="Arial" w:hAnsi="Arial" w:cs="Arial"/>
          <w:b/>
          <w:sz w:val="23"/>
          <w:szCs w:val="23"/>
          <w:lang w:eastAsia="cs-CZ"/>
        </w:rPr>
        <w:t xml:space="preserve">nové byty stále </w:t>
      </w:r>
      <w:r w:rsidR="00B42407">
        <w:rPr>
          <w:rFonts w:ascii="Arial" w:hAnsi="Arial" w:cs="Arial"/>
          <w:b/>
          <w:sz w:val="23"/>
          <w:szCs w:val="23"/>
          <w:lang w:eastAsia="cs-CZ"/>
        </w:rPr>
        <w:t>přibližně</w:t>
      </w:r>
      <w:r w:rsidR="00574AB5">
        <w:rPr>
          <w:rFonts w:ascii="Arial" w:hAnsi="Arial" w:cs="Arial"/>
          <w:b/>
          <w:sz w:val="23"/>
          <w:szCs w:val="23"/>
          <w:lang w:eastAsia="cs-CZ"/>
        </w:rPr>
        <w:t xml:space="preserve"> o pětinu levnější, než před nástupem hospodářské recese. Vyplývá to z nejnovějších statistik skutečných prodejů nových bytů </w:t>
      </w:r>
      <w:r w:rsidR="00564E82">
        <w:rPr>
          <w:rFonts w:ascii="Arial" w:hAnsi="Arial" w:cs="Arial"/>
          <w:b/>
          <w:sz w:val="23"/>
          <w:szCs w:val="23"/>
          <w:lang w:eastAsia="cs-CZ"/>
        </w:rPr>
        <w:t>společnosti</w:t>
      </w:r>
      <w:r w:rsidR="00574AB5">
        <w:rPr>
          <w:rFonts w:ascii="Arial" w:hAnsi="Arial" w:cs="Arial"/>
          <w:b/>
          <w:sz w:val="23"/>
          <w:szCs w:val="23"/>
          <w:lang w:eastAsia="cs-CZ"/>
        </w:rPr>
        <w:t xml:space="preserve"> za první pololetí letošního roku</w:t>
      </w:r>
      <w:r w:rsidR="004267CA">
        <w:rPr>
          <w:rFonts w:ascii="Arial" w:hAnsi="Arial" w:cs="Arial"/>
          <w:b/>
          <w:sz w:val="23"/>
          <w:szCs w:val="23"/>
          <w:lang w:eastAsia="cs-CZ"/>
        </w:rPr>
        <w:t xml:space="preserve">. </w:t>
      </w:r>
    </w:p>
    <w:p w:rsidR="00655B14" w:rsidRPr="00C33FE8" w:rsidRDefault="00655B14" w:rsidP="00344915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BF1DD3" w:rsidRDefault="00574AB5" w:rsidP="00BF1DD3">
      <w:pPr>
        <w:spacing w:after="0" w:line="259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Během letošního prvního pololetí prodala společnost CENTRAL GROUP koncovým uživatelům celkem 478 nových bytů</w:t>
      </w:r>
      <w:r w:rsidR="00575DE9">
        <w:rPr>
          <w:rFonts w:ascii="Arial" w:hAnsi="Arial" w:cs="Arial"/>
          <w:lang w:eastAsia="cs-CZ"/>
        </w:rPr>
        <w:t xml:space="preserve"> za průměrnou cenu 40.205 Kč za metr čtvereční vnitřní podlahové plochy bez DPH</w:t>
      </w:r>
      <w:r>
        <w:rPr>
          <w:rFonts w:ascii="Arial" w:hAnsi="Arial" w:cs="Arial"/>
          <w:lang w:eastAsia="cs-CZ"/>
        </w:rPr>
        <w:t xml:space="preserve">. </w:t>
      </w:r>
      <w:r w:rsidR="00575DE9">
        <w:rPr>
          <w:rFonts w:ascii="Arial" w:hAnsi="Arial" w:cs="Arial"/>
          <w:lang w:eastAsia="cs-CZ"/>
        </w:rPr>
        <w:t xml:space="preserve">Oproti druhému pololetí roku 2013, kdy byly ceny na dně, </w:t>
      </w:r>
      <w:r w:rsidR="00BF1DD3">
        <w:rPr>
          <w:rFonts w:ascii="Arial" w:hAnsi="Arial" w:cs="Arial"/>
          <w:lang w:eastAsia="cs-CZ"/>
        </w:rPr>
        <w:t xml:space="preserve">to představuje nárůst </w:t>
      </w:r>
      <w:r w:rsidR="00BF1DD3">
        <w:rPr>
          <w:rFonts w:ascii="Arial" w:hAnsi="Arial" w:cs="Arial"/>
          <w:lang w:eastAsia="cs-CZ"/>
        </w:rPr>
        <w:br/>
        <w:t xml:space="preserve">o 21,6 %. A i když se to může zdát jako nárůst výrazný, </w:t>
      </w:r>
      <w:r w:rsidR="0002419E">
        <w:rPr>
          <w:rFonts w:ascii="Arial" w:hAnsi="Arial" w:cs="Arial"/>
          <w:lang w:eastAsia="cs-CZ"/>
        </w:rPr>
        <w:t xml:space="preserve">dnes </w:t>
      </w:r>
      <w:r w:rsidR="00BF1DD3">
        <w:rPr>
          <w:rFonts w:ascii="Arial" w:hAnsi="Arial" w:cs="Arial"/>
          <w:lang w:eastAsia="cs-CZ"/>
        </w:rPr>
        <w:t xml:space="preserve">realizované ceny nových bytů </w:t>
      </w:r>
      <w:r w:rsidR="0002419E">
        <w:rPr>
          <w:rFonts w:ascii="Arial" w:hAnsi="Arial" w:cs="Arial"/>
          <w:lang w:eastAsia="cs-CZ"/>
        </w:rPr>
        <w:t>jsou stále o více než pětinu nižší</w:t>
      </w:r>
      <w:r w:rsidR="00BF1DD3">
        <w:rPr>
          <w:rFonts w:ascii="Arial" w:hAnsi="Arial" w:cs="Arial"/>
          <w:lang w:eastAsia="cs-CZ"/>
        </w:rPr>
        <w:t xml:space="preserve"> než před nástupem hospodářské recese. Průměrná prodejní cena v prvním pololetí roku 2008 totiž dosahovala 50.393 korun za metr čtvereční bez DPH </w:t>
      </w:r>
      <w:r w:rsidR="00BF1DD3" w:rsidRPr="006E3D61">
        <w:rPr>
          <w:rFonts w:ascii="Arial" w:hAnsi="Arial" w:cs="Arial"/>
          <w:i/>
          <w:lang w:eastAsia="cs-CZ"/>
        </w:rPr>
        <w:t>(viz graf na další straně)</w:t>
      </w:r>
      <w:r w:rsidR="00BF1DD3">
        <w:rPr>
          <w:rFonts w:ascii="Arial" w:hAnsi="Arial" w:cs="Arial"/>
          <w:lang w:eastAsia="cs-CZ"/>
        </w:rPr>
        <w:t>.</w:t>
      </w:r>
    </w:p>
    <w:p w:rsidR="00BF1DD3" w:rsidRPr="00C33FE8" w:rsidRDefault="00BF1DD3" w:rsidP="00344915">
      <w:pPr>
        <w:spacing w:after="0" w:line="259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F1DD3" w:rsidRDefault="00BF1DD3" w:rsidP="00344915">
      <w:pPr>
        <w:spacing w:after="0" w:line="259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Všechna </w:t>
      </w:r>
      <w:r w:rsidR="0002419E">
        <w:rPr>
          <w:rFonts w:ascii="Arial" w:hAnsi="Arial" w:cs="Arial"/>
          <w:lang w:eastAsia="cs-CZ"/>
        </w:rPr>
        <w:t xml:space="preserve">zveřejněná </w:t>
      </w:r>
      <w:r>
        <w:rPr>
          <w:rFonts w:ascii="Arial" w:hAnsi="Arial" w:cs="Arial"/>
          <w:lang w:eastAsia="cs-CZ"/>
        </w:rPr>
        <w:t>data vycházejí výhradně ze skutečně prodaných nemovitostí</w:t>
      </w:r>
      <w:r w:rsidR="0002419E">
        <w:rPr>
          <w:rFonts w:ascii="Arial" w:hAnsi="Arial" w:cs="Arial"/>
          <w:lang w:eastAsia="cs-CZ"/>
        </w:rPr>
        <w:t xml:space="preserve"> CENTRAL GROUP</w:t>
      </w:r>
      <w:r>
        <w:rPr>
          <w:rFonts w:ascii="Arial" w:hAnsi="Arial" w:cs="Arial"/>
          <w:lang w:eastAsia="cs-CZ"/>
        </w:rPr>
        <w:t xml:space="preserve">, u nichž již byla zahájena výstavba, a vždy jsou spojeny s plněním části nebo celé kupní ceny. Nejedná se tedy o žádné rezervační smlouvy se zálohami v řádu desítek tisíc korun na tzv. „vzdušné zámky“, tedy byty na papíře s neznámým termínem realizace, které také někteří developeři </w:t>
      </w:r>
      <w:r w:rsidR="00C33FE8">
        <w:rPr>
          <w:rFonts w:ascii="Arial" w:hAnsi="Arial" w:cs="Arial"/>
          <w:lang w:eastAsia="cs-CZ"/>
        </w:rPr>
        <w:t>označují jako</w:t>
      </w:r>
      <w:r>
        <w:rPr>
          <w:rFonts w:ascii="Arial" w:hAnsi="Arial" w:cs="Arial"/>
          <w:lang w:eastAsia="cs-CZ"/>
        </w:rPr>
        <w:t xml:space="preserve"> prodané. </w:t>
      </w:r>
    </w:p>
    <w:p w:rsidR="00575DE9" w:rsidRPr="00C33FE8" w:rsidRDefault="00575DE9" w:rsidP="00344915">
      <w:pPr>
        <w:spacing w:after="0" w:line="259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574AB5" w:rsidRDefault="00574AB5" w:rsidP="00344915">
      <w:pPr>
        <w:spacing w:after="0" w:line="259" w:lineRule="auto"/>
        <w:jc w:val="both"/>
        <w:rPr>
          <w:rFonts w:ascii="Arial" w:hAnsi="Arial" w:cs="Arial"/>
          <w:b/>
          <w:lang w:eastAsia="cs-CZ"/>
        </w:rPr>
      </w:pPr>
      <w:r w:rsidRPr="00574AB5">
        <w:rPr>
          <w:rFonts w:ascii="Arial" w:hAnsi="Arial" w:cs="Arial"/>
          <w:b/>
          <w:lang w:eastAsia="cs-CZ"/>
        </w:rPr>
        <w:t>Zvyšování průměrné ceny způsobuje souběh tří hlavních faktorů</w:t>
      </w:r>
    </w:p>
    <w:p w:rsidR="00574AB5" w:rsidRPr="00C33FE8" w:rsidRDefault="00574AB5" w:rsidP="00344915">
      <w:pPr>
        <w:spacing w:after="0" w:line="259" w:lineRule="auto"/>
        <w:jc w:val="both"/>
        <w:rPr>
          <w:rFonts w:ascii="Arial" w:hAnsi="Arial" w:cs="Arial"/>
          <w:b/>
          <w:sz w:val="4"/>
          <w:szCs w:val="4"/>
          <w:lang w:eastAsia="cs-CZ"/>
        </w:rPr>
      </w:pPr>
    </w:p>
    <w:p w:rsidR="00574AB5" w:rsidRDefault="0002419E" w:rsidP="00344915">
      <w:pPr>
        <w:spacing w:after="0" w:line="259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Statistiky potvrzují d</w:t>
      </w:r>
      <w:r w:rsidR="00751B24">
        <w:rPr>
          <w:rFonts w:ascii="Arial" w:hAnsi="Arial" w:cs="Arial"/>
          <w:lang w:eastAsia="cs-CZ"/>
        </w:rPr>
        <w:t xml:space="preserve">louhodobé zvyšování </w:t>
      </w:r>
      <w:r w:rsidR="00564E82">
        <w:rPr>
          <w:rFonts w:ascii="Arial" w:hAnsi="Arial" w:cs="Arial"/>
          <w:lang w:eastAsia="cs-CZ"/>
        </w:rPr>
        <w:t>realizovaných cen</w:t>
      </w:r>
      <w:r w:rsidR="00751B24">
        <w:rPr>
          <w:rFonts w:ascii="Arial" w:hAnsi="Arial" w:cs="Arial"/>
          <w:lang w:eastAsia="cs-CZ"/>
        </w:rPr>
        <w:t xml:space="preserve"> nových bytů</w:t>
      </w:r>
      <w:r>
        <w:rPr>
          <w:rFonts w:ascii="Arial" w:hAnsi="Arial" w:cs="Arial"/>
          <w:lang w:eastAsia="cs-CZ"/>
        </w:rPr>
        <w:t>, které je</w:t>
      </w:r>
      <w:r w:rsidR="00751B24">
        <w:rPr>
          <w:rFonts w:ascii="Arial" w:hAnsi="Arial" w:cs="Arial"/>
          <w:lang w:eastAsia="cs-CZ"/>
        </w:rPr>
        <w:t xml:space="preserve"> způsob</w:t>
      </w:r>
      <w:r>
        <w:rPr>
          <w:rFonts w:ascii="Arial" w:hAnsi="Arial" w:cs="Arial"/>
          <w:lang w:eastAsia="cs-CZ"/>
        </w:rPr>
        <w:t>eno</w:t>
      </w:r>
      <w:r w:rsidR="00751B24">
        <w:rPr>
          <w:rFonts w:ascii="Arial" w:hAnsi="Arial" w:cs="Arial"/>
          <w:lang w:eastAsia="cs-CZ"/>
        </w:rPr>
        <w:t xml:space="preserve"> souběh</w:t>
      </w:r>
      <w:r>
        <w:rPr>
          <w:rFonts w:ascii="Arial" w:hAnsi="Arial" w:cs="Arial"/>
          <w:lang w:eastAsia="cs-CZ"/>
        </w:rPr>
        <w:t>em</w:t>
      </w:r>
      <w:r w:rsidR="00751B24">
        <w:rPr>
          <w:rFonts w:ascii="Arial" w:hAnsi="Arial" w:cs="Arial"/>
          <w:lang w:eastAsia="cs-CZ"/>
        </w:rPr>
        <w:t xml:space="preserve"> tří hlavních faktorů. Prvním </w:t>
      </w:r>
      <w:r w:rsidR="00575DE9">
        <w:rPr>
          <w:rFonts w:ascii="Arial" w:hAnsi="Arial" w:cs="Arial"/>
          <w:lang w:eastAsia="cs-CZ"/>
        </w:rPr>
        <w:t xml:space="preserve">a již mnohokrát zmíněným </w:t>
      </w:r>
      <w:r w:rsidR="00751B24">
        <w:rPr>
          <w:rFonts w:ascii="Arial" w:hAnsi="Arial" w:cs="Arial"/>
          <w:lang w:eastAsia="cs-CZ"/>
        </w:rPr>
        <w:t>jsou rostoucí dodavatelské ceny stavebních prací a materiálů, které developeři pozorují právě od druhé poloviny roku 2013.</w:t>
      </w:r>
      <w:r w:rsidR="00575DE9">
        <w:rPr>
          <w:rFonts w:ascii="Arial" w:hAnsi="Arial" w:cs="Arial"/>
          <w:lang w:eastAsia="cs-CZ"/>
        </w:rPr>
        <w:t xml:space="preserve"> Druhým důvodem </w:t>
      </w:r>
      <w:r w:rsidR="00C33FE8">
        <w:rPr>
          <w:rFonts w:ascii="Arial" w:hAnsi="Arial" w:cs="Arial"/>
          <w:lang w:eastAsia="cs-CZ"/>
        </w:rPr>
        <w:t xml:space="preserve">pak je nedostatek vhodných pozemků pro přípravu nových projektů a legislativní chaos ohledně povolování nové výstavby v Praze, který způsobuje další růst cen již připravených projektů. </w:t>
      </w:r>
      <w:r w:rsidR="00575DE9">
        <w:rPr>
          <w:rFonts w:ascii="Arial" w:hAnsi="Arial" w:cs="Arial"/>
          <w:lang w:eastAsia="cs-CZ"/>
        </w:rPr>
        <w:t xml:space="preserve">Nově se ale projevuje </w:t>
      </w:r>
      <w:r w:rsidR="00CF27B2">
        <w:rPr>
          <w:rFonts w:ascii="Arial" w:hAnsi="Arial" w:cs="Arial"/>
          <w:lang w:eastAsia="cs-CZ"/>
        </w:rPr>
        <w:t xml:space="preserve">také </w:t>
      </w:r>
      <w:r w:rsidR="00575DE9">
        <w:rPr>
          <w:rFonts w:ascii="Arial" w:hAnsi="Arial" w:cs="Arial"/>
          <w:lang w:eastAsia="cs-CZ"/>
        </w:rPr>
        <w:t xml:space="preserve">faktor třetí, který lze označit za nový trend. </w:t>
      </w:r>
    </w:p>
    <w:p w:rsidR="00575DE9" w:rsidRPr="00C33FE8" w:rsidRDefault="00575DE9" w:rsidP="00344915">
      <w:pPr>
        <w:spacing w:after="0" w:line="259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55B14" w:rsidRDefault="00751B24" w:rsidP="00344915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F27B2">
        <w:rPr>
          <w:rFonts w:ascii="Arial" w:hAnsi="Arial" w:cs="Arial"/>
          <w:i/>
          <w:lang w:eastAsia="cs-CZ"/>
        </w:rPr>
        <w:t>„</w:t>
      </w:r>
      <w:r w:rsidR="006C2B65">
        <w:rPr>
          <w:rFonts w:ascii="Arial" w:hAnsi="Arial" w:cs="Arial"/>
          <w:i/>
          <w:lang w:eastAsia="cs-CZ"/>
        </w:rPr>
        <w:t>S</w:t>
      </w:r>
      <w:r w:rsidR="00575DE9" w:rsidRPr="00CF27B2">
        <w:rPr>
          <w:rFonts w:ascii="Arial" w:hAnsi="Arial" w:cs="Arial"/>
          <w:i/>
          <w:lang w:eastAsia="cs-CZ"/>
        </w:rPr>
        <w:t> </w:t>
      </w:r>
      <w:r w:rsidR="00C33FE8">
        <w:rPr>
          <w:rFonts w:ascii="Arial" w:hAnsi="Arial" w:cs="Arial"/>
          <w:i/>
          <w:lang w:eastAsia="cs-CZ"/>
        </w:rPr>
        <w:t xml:space="preserve">rostoucí nabídkou </w:t>
      </w:r>
      <w:r w:rsidR="00564E82">
        <w:rPr>
          <w:rFonts w:ascii="Arial" w:hAnsi="Arial" w:cs="Arial"/>
          <w:i/>
          <w:lang w:eastAsia="cs-CZ"/>
        </w:rPr>
        <w:t>větších projektů</w:t>
      </w:r>
      <w:r w:rsidR="00575DE9" w:rsidRPr="00CF27B2">
        <w:rPr>
          <w:rFonts w:ascii="Arial" w:hAnsi="Arial" w:cs="Arial"/>
          <w:i/>
          <w:lang w:eastAsia="cs-CZ"/>
        </w:rPr>
        <w:t xml:space="preserve"> </w:t>
      </w:r>
      <w:r w:rsidR="006C2B65">
        <w:rPr>
          <w:rFonts w:ascii="Arial" w:hAnsi="Arial" w:cs="Arial"/>
          <w:i/>
          <w:lang w:eastAsia="cs-CZ"/>
        </w:rPr>
        <w:t xml:space="preserve">také </w:t>
      </w:r>
      <w:r w:rsidR="00C33FE8">
        <w:rPr>
          <w:rFonts w:ascii="Arial" w:hAnsi="Arial" w:cs="Arial"/>
          <w:i/>
          <w:lang w:eastAsia="cs-CZ"/>
        </w:rPr>
        <w:t>v</w:t>
      </w:r>
      <w:r w:rsidR="00575DE9" w:rsidRPr="00CF27B2">
        <w:rPr>
          <w:rFonts w:ascii="Arial" w:hAnsi="Arial" w:cs="Arial"/>
          <w:i/>
          <w:lang w:eastAsia="cs-CZ"/>
        </w:rPr>
        <w:t> centr</w:t>
      </w:r>
      <w:r w:rsidR="00C33FE8">
        <w:rPr>
          <w:rFonts w:ascii="Arial" w:hAnsi="Arial" w:cs="Arial"/>
          <w:i/>
          <w:lang w:eastAsia="cs-CZ"/>
        </w:rPr>
        <w:t>u</w:t>
      </w:r>
      <w:r w:rsidR="00575DE9" w:rsidRPr="00CF27B2">
        <w:rPr>
          <w:rFonts w:ascii="Arial" w:hAnsi="Arial" w:cs="Arial"/>
          <w:i/>
          <w:lang w:eastAsia="cs-CZ"/>
        </w:rPr>
        <w:t xml:space="preserve"> Prahy roste zájem klientů právě o tyto </w:t>
      </w:r>
      <w:r w:rsidR="00564E82">
        <w:rPr>
          <w:rFonts w:ascii="Arial" w:hAnsi="Arial" w:cs="Arial"/>
          <w:i/>
          <w:lang w:eastAsia="cs-CZ"/>
        </w:rPr>
        <w:t>lokali</w:t>
      </w:r>
      <w:r w:rsidR="00575DE9" w:rsidRPr="00CF27B2">
        <w:rPr>
          <w:rFonts w:ascii="Arial" w:hAnsi="Arial" w:cs="Arial"/>
          <w:i/>
          <w:lang w:eastAsia="cs-CZ"/>
        </w:rPr>
        <w:t xml:space="preserve">ty. Protože jsou realizovány </w:t>
      </w:r>
      <w:r w:rsidR="00564E82">
        <w:rPr>
          <w:rFonts w:ascii="Arial" w:hAnsi="Arial" w:cs="Arial"/>
          <w:i/>
          <w:lang w:eastAsia="cs-CZ"/>
        </w:rPr>
        <w:t>na</w:t>
      </w:r>
      <w:r w:rsidR="00575DE9" w:rsidRPr="00CF27B2">
        <w:rPr>
          <w:rFonts w:ascii="Arial" w:hAnsi="Arial" w:cs="Arial"/>
          <w:i/>
          <w:lang w:eastAsia="cs-CZ"/>
        </w:rPr>
        <w:t xml:space="preserve"> </w:t>
      </w:r>
      <w:r w:rsidR="00CF27B2" w:rsidRPr="00CF27B2">
        <w:rPr>
          <w:rFonts w:ascii="Arial" w:hAnsi="Arial" w:cs="Arial"/>
          <w:i/>
          <w:lang w:eastAsia="cs-CZ"/>
        </w:rPr>
        <w:t xml:space="preserve">lukrativnějších </w:t>
      </w:r>
      <w:r w:rsidR="00564E82">
        <w:rPr>
          <w:rFonts w:ascii="Arial" w:hAnsi="Arial" w:cs="Arial"/>
          <w:i/>
          <w:lang w:eastAsia="cs-CZ"/>
        </w:rPr>
        <w:t>pozemcích</w:t>
      </w:r>
      <w:r w:rsidR="00CF27B2" w:rsidRPr="00CF27B2">
        <w:rPr>
          <w:rFonts w:ascii="Arial" w:hAnsi="Arial" w:cs="Arial"/>
          <w:i/>
          <w:lang w:eastAsia="cs-CZ"/>
        </w:rPr>
        <w:t xml:space="preserve"> než </w:t>
      </w:r>
      <w:r w:rsidR="006C2B65">
        <w:rPr>
          <w:rFonts w:ascii="Arial" w:hAnsi="Arial" w:cs="Arial"/>
          <w:i/>
          <w:lang w:eastAsia="cs-CZ"/>
        </w:rPr>
        <w:t>cenově dostupné velké projekty na</w:t>
      </w:r>
      <w:r w:rsidR="00CF27B2" w:rsidRPr="00CF27B2">
        <w:rPr>
          <w:rFonts w:ascii="Arial" w:hAnsi="Arial" w:cs="Arial"/>
          <w:i/>
          <w:lang w:eastAsia="cs-CZ"/>
        </w:rPr>
        <w:t> okraj</w:t>
      </w:r>
      <w:r w:rsidR="006C2B65">
        <w:rPr>
          <w:rFonts w:ascii="Arial" w:hAnsi="Arial" w:cs="Arial"/>
          <w:i/>
          <w:lang w:eastAsia="cs-CZ"/>
        </w:rPr>
        <w:t>i metropole</w:t>
      </w:r>
      <w:r w:rsidR="00CF27B2" w:rsidRPr="00CF27B2">
        <w:rPr>
          <w:rFonts w:ascii="Arial" w:hAnsi="Arial" w:cs="Arial"/>
          <w:i/>
          <w:lang w:eastAsia="cs-CZ"/>
        </w:rPr>
        <w:t xml:space="preserve">, logicky je jejich prodejní cena vyšší a zvyšuje tak celkový průměr. Zjednodušeně lze říci, že lidé, kteří dříve uvažovali o nákupu nového bytu </w:t>
      </w:r>
      <w:r w:rsidR="006C2B65">
        <w:rPr>
          <w:rFonts w:ascii="Arial" w:hAnsi="Arial" w:cs="Arial"/>
          <w:i/>
          <w:lang w:eastAsia="cs-CZ"/>
        </w:rPr>
        <w:t>na okraji Prahy</w:t>
      </w:r>
      <w:r w:rsidR="00CF27B2" w:rsidRPr="00CF27B2">
        <w:rPr>
          <w:rFonts w:ascii="Arial" w:hAnsi="Arial" w:cs="Arial"/>
          <w:i/>
          <w:lang w:eastAsia="cs-CZ"/>
        </w:rPr>
        <w:t>, si dnes mohou dovolit i bydlení v širším centr</w:t>
      </w:r>
      <w:r w:rsidR="00564E82">
        <w:rPr>
          <w:rFonts w:ascii="Arial" w:hAnsi="Arial" w:cs="Arial"/>
          <w:i/>
          <w:lang w:eastAsia="cs-CZ"/>
        </w:rPr>
        <w:t>u</w:t>
      </w:r>
      <w:r w:rsidR="00CF27B2" w:rsidRPr="00CF27B2">
        <w:rPr>
          <w:rFonts w:ascii="Arial" w:hAnsi="Arial" w:cs="Arial"/>
          <w:i/>
          <w:lang w:eastAsia="cs-CZ"/>
        </w:rPr>
        <w:t xml:space="preserve">. A zájemci, kteří dříve </w:t>
      </w:r>
      <w:r w:rsidR="006C2B65">
        <w:rPr>
          <w:rFonts w:ascii="Arial" w:hAnsi="Arial" w:cs="Arial"/>
          <w:i/>
          <w:lang w:eastAsia="cs-CZ"/>
        </w:rPr>
        <w:t>hledali spíše</w:t>
      </w:r>
      <w:r w:rsidR="00CF27B2" w:rsidRPr="00CF27B2">
        <w:rPr>
          <w:rFonts w:ascii="Arial" w:hAnsi="Arial" w:cs="Arial"/>
          <w:i/>
          <w:lang w:eastAsia="cs-CZ"/>
        </w:rPr>
        <w:t xml:space="preserve"> starší byt</w:t>
      </w:r>
      <w:r w:rsidR="006C2B65">
        <w:rPr>
          <w:rFonts w:ascii="Arial" w:hAnsi="Arial" w:cs="Arial"/>
          <w:i/>
          <w:lang w:eastAsia="cs-CZ"/>
        </w:rPr>
        <w:t>y</w:t>
      </w:r>
      <w:r w:rsidR="00CF27B2" w:rsidRPr="00CF27B2">
        <w:rPr>
          <w:rFonts w:ascii="Arial" w:hAnsi="Arial" w:cs="Arial"/>
          <w:i/>
          <w:lang w:eastAsia="cs-CZ"/>
        </w:rPr>
        <w:t xml:space="preserve"> nebo dokonce </w:t>
      </w:r>
      <w:r w:rsidR="0002419E">
        <w:rPr>
          <w:rFonts w:ascii="Arial" w:hAnsi="Arial" w:cs="Arial"/>
          <w:i/>
          <w:lang w:eastAsia="cs-CZ"/>
        </w:rPr>
        <w:t xml:space="preserve">jen </w:t>
      </w:r>
      <w:r w:rsidR="00CF27B2" w:rsidRPr="00CF27B2">
        <w:rPr>
          <w:rFonts w:ascii="Arial" w:hAnsi="Arial" w:cs="Arial"/>
          <w:i/>
          <w:lang w:eastAsia="cs-CZ"/>
        </w:rPr>
        <w:t>pronáj</w:t>
      </w:r>
      <w:r w:rsidR="006C2B65">
        <w:rPr>
          <w:rFonts w:ascii="Arial" w:hAnsi="Arial" w:cs="Arial"/>
          <w:i/>
          <w:lang w:eastAsia="cs-CZ"/>
        </w:rPr>
        <w:t>e</w:t>
      </w:r>
      <w:r w:rsidR="00CF27B2" w:rsidRPr="00CF27B2">
        <w:rPr>
          <w:rFonts w:ascii="Arial" w:hAnsi="Arial" w:cs="Arial"/>
          <w:i/>
          <w:lang w:eastAsia="cs-CZ"/>
        </w:rPr>
        <w:t>m, si dnes díky levným hypotékám</w:t>
      </w:r>
      <w:r w:rsidR="00C33FE8">
        <w:rPr>
          <w:rFonts w:ascii="Arial" w:hAnsi="Arial" w:cs="Arial"/>
          <w:i/>
          <w:lang w:eastAsia="cs-CZ"/>
        </w:rPr>
        <w:t xml:space="preserve"> kupují </w:t>
      </w:r>
      <w:r w:rsidR="00CF27B2" w:rsidRPr="00CF27B2">
        <w:rPr>
          <w:rFonts w:ascii="Arial" w:hAnsi="Arial" w:cs="Arial"/>
          <w:i/>
          <w:lang w:eastAsia="cs-CZ"/>
        </w:rPr>
        <w:t>právě cenově dostupné novostavby</w:t>
      </w:r>
      <w:r w:rsidR="006C2B65">
        <w:rPr>
          <w:rFonts w:ascii="Arial" w:hAnsi="Arial" w:cs="Arial"/>
          <w:i/>
          <w:lang w:eastAsia="cs-CZ"/>
        </w:rPr>
        <w:t xml:space="preserve"> na okraji</w:t>
      </w:r>
      <w:r w:rsidR="00CF27B2" w:rsidRPr="00CF27B2">
        <w:rPr>
          <w:rFonts w:ascii="Arial" w:hAnsi="Arial" w:cs="Arial"/>
          <w:i/>
          <w:lang w:eastAsia="cs-CZ"/>
        </w:rPr>
        <w:t>,“</w:t>
      </w:r>
      <w:r w:rsidR="00CF27B2">
        <w:rPr>
          <w:rFonts w:ascii="Arial" w:hAnsi="Arial" w:cs="Arial"/>
          <w:lang w:eastAsia="cs-CZ"/>
        </w:rPr>
        <w:t xml:space="preserve"> vysvětluje Dušan Kunovský, předseda představenstva CENTRAL GROUP. </w:t>
      </w:r>
    </w:p>
    <w:p w:rsidR="00CF27B2" w:rsidRPr="00C33FE8" w:rsidRDefault="00CF27B2" w:rsidP="00344915">
      <w:pPr>
        <w:spacing w:after="0" w:line="259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E3D61" w:rsidRDefault="00CF27B2" w:rsidP="00344915">
      <w:pPr>
        <w:spacing w:after="0" w:line="259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rekordních prodejích CENTRAL GROUP v prvním pololetí se významně podílely </w:t>
      </w:r>
      <w:r w:rsidR="006C2B65">
        <w:rPr>
          <w:rFonts w:ascii="Arial" w:hAnsi="Arial" w:cs="Arial"/>
          <w:lang w:eastAsia="cs-CZ"/>
        </w:rPr>
        <w:t xml:space="preserve">zejména </w:t>
      </w:r>
      <w:r>
        <w:rPr>
          <w:rFonts w:ascii="Arial" w:hAnsi="Arial" w:cs="Arial"/>
          <w:lang w:eastAsia="cs-CZ"/>
        </w:rPr>
        <w:t xml:space="preserve">tři nové projekty uvedené do nabídky na jaře letošního roku – poslední etapa bytového </w:t>
      </w:r>
      <w:r w:rsidR="00564E82">
        <w:rPr>
          <w:rFonts w:ascii="Arial" w:hAnsi="Arial" w:cs="Arial"/>
          <w:lang w:eastAsia="cs-CZ"/>
        </w:rPr>
        <w:t xml:space="preserve">areálu </w:t>
      </w:r>
      <w:r>
        <w:rPr>
          <w:rFonts w:ascii="Arial" w:hAnsi="Arial" w:cs="Arial"/>
          <w:lang w:eastAsia="cs-CZ"/>
        </w:rPr>
        <w:t xml:space="preserve">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 v centru Prahy na Žižkově a zcela nové projekty rodinného bydlení Letňanské zahrady na Praze 9 a Park Zahradní Město v Praze 10. Jen v těchto třech lokalitách našlo nové majitele více než </w:t>
      </w:r>
      <w:r w:rsidRPr="00751B24">
        <w:rPr>
          <w:rFonts w:ascii="Arial" w:hAnsi="Arial" w:cs="Arial"/>
          <w:color w:val="000000" w:themeColor="text1"/>
          <w:lang w:eastAsia="cs-CZ"/>
        </w:rPr>
        <w:t>2</w:t>
      </w:r>
      <w:r>
        <w:rPr>
          <w:rFonts w:ascii="Arial" w:hAnsi="Arial" w:cs="Arial"/>
          <w:color w:val="000000" w:themeColor="text1"/>
          <w:lang w:eastAsia="cs-CZ"/>
        </w:rPr>
        <w:t>50</w:t>
      </w:r>
      <w:r w:rsidR="00C33FE8">
        <w:rPr>
          <w:rFonts w:ascii="Arial" w:hAnsi="Arial" w:cs="Arial"/>
          <w:lang w:eastAsia="cs-CZ"/>
        </w:rPr>
        <w:t xml:space="preserve"> bytů. </w:t>
      </w:r>
      <w:r>
        <w:rPr>
          <w:rFonts w:ascii="Arial" w:hAnsi="Arial" w:cs="Arial"/>
          <w:lang w:eastAsia="cs-CZ"/>
        </w:rPr>
        <w:t xml:space="preserve">Největší zájem kupujících </w:t>
      </w:r>
      <w:r w:rsidR="006C2B65">
        <w:rPr>
          <w:rFonts w:ascii="Arial" w:hAnsi="Arial" w:cs="Arial"/>
          <w:lang w:eastAsia="cs-CZ"/>
        </w:rPr>
        <w:t xml:space="preserve">o nové byty </w:t>
      </w:r>
      <w:r>
        <w:rPr>
          <w:rFonts w:ascii="Arial" w:hAnsi="Arial" w:cs="Arial"/>
          <w:lang w:eastAsia="cs-CZ"/>
        </w:rPr>
        <w:t xml:space="preserve">ale </w:t>
      </w:r>
      <w:r w:rsidR="006C2B65">
        <w:rPr>
          <w:rFonts w:ascii="Arial" w:hAnsi="Arial" w:cs="Arial"/>
          <w:lang w:eastAsia="cs-CZ"/>
        </w:rPr>
        <w:t>CENTRAL GROUP</w:t>
      </w:r>
      <w:r>
        <w:rPr>
          <w:rFonts w:ascii="Arial" w:hAnsi="Arial" w:cs="Arial"/>
          <w:lang w:eastAsia="cs-CZ"/>
        </w:rPr>
        <w:t xml:space="preserve"> očekává tradičně s nástupem podzimu. </w:t>
      </w:r>
      <w:r w:rsidR="006C2B65">
        <w:rPr>
          <w:rFonts w:ascii="Arial" w:hAnsi="Arial" w:cs="Arial"/>
          <w:lang w:eastAsia="cs-CZ"/>
        </w:rPr>
        <w:t xml:space="preserve">A tomu </w:t>
      </w:r>
      <w:r w:rsidR="006E3D61">
        <w:rPr>
          <w:rFonts w:ascii="Arial" w:hAnsi="Arial" w:cs="Arial"/>
          <w:lang w:eastAsia="cs-CZ"/>
        </w:rPr>
        <w:t>hodlá přizpůsobit</w:t>
      </w:r>
      <w:r w:rsidR="006C2B65">
        <w:rPr>
          <w:rFonts w:ascii="Arial" w:hAnsi="Arial" w:cs="Arial"/>
          <w:lang w:eastAsia="cs-CZ"/>
        </w:rPr>
        <w:t xml:space="preserve"> i svou nabídku</w:t>
      </w:r>
      <w:r w:rsidR="006E3D61">
        <w:rPr>
          <w:rFonts w:ascii="Arial" w:hAnsi="Arial" w:cs="Arial"/>
          <w:lang w:eastAsia="cs-CZ"/>
        </w:rPr>
        <w:t>.</w:t>
      </w:r>
    </w:p>
    <w:p w:rsidR="00564E82" w:rsidRPr="00C33FE8" w:rsidRDefault="00564E82" w:rsidP="00344915">
      <w:pPr>
        <w:spacing w:after="0" w:line="259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74AB5" w:rsidRPr="006E3D61" w:rsidRDefault="006E3D61" w:rsidP="00344915">
      <w:pPr>
        <w:spacing w:after="0" w:line="259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P</w:t>
      </w:r>
      <w:r w:rsidR="00574AB5">
        <w:rPr>
          <w:rFonts w:ascii="Arial" w:hAnsi="Arial" w:cs="Arial"/>
          <w:b/>
          <w:lang w:eastAsia="cs-CZ"/>
        </w:rPr>
        <w:t xml:space="preserve">odzimní vrchol sezóny: Sedm nových lokalit, z toho pět v širším centru Prahy </w:t>
      </w:r>
    </w:p>
    <w:p w:rsidR="00574AB5" w:rsidRPr="00C33FE8" w:rsidRDefault="00574AB5" w:rsidP="00344915">
      <w:pPr>
        <w:spacing w:after="0" w:line="259" w:lineRule="auto"/>
        <w:jc w:val="both"/>
        <w:rPr>
          <w:rFonts w:ascii="Arial" w:hAnsi="Arial" w:cs="Arial"/>
          <w:b/>
          <w:sz w:val="4"/>
          <w:szCs w:val="4"/>
          <w:lang w:eastAsia="cs-CZ"/>
        </w:rPr>
      </w:pPr>
    </w:p>
    <w:p w:rsidR="00574AB5" w:rsidRDefault="006C2B65" w:rsidP="00344915">
      <w:pPr>
        <w:spacing w:after="0" w:line="259" w:lineRule="auto"/>
        <w:jc w:val="both"/>
        <w:rPr>
          <w:rFonts w:ascii="Arial" w:hAnsi="Arial" w:cs="Arial"/>
          <w:lang w:eastAsia="cs-CZ"/>
        </w:rPr>
      </w:pPr>
      <w:r w:rsidRPr="006E3D61">
        <w:rPr>
          <w:rFonts w:ascii="Arial" w:hAnsi="Arial" w:cs="Arial"/>
          <w:i/>
          <w:lang w:eastAsia="cs-CZ"/>
        </w:rPr>
        <w:t>„</w:t>
      </w:r>
      <w:r w:rsidR="006E3D61" w:rsidRPr="006E3D61">
        <w:rPr>
          <w:rFonts w:ascii="Arial" w:hAnsi="Arial" w:cs="Arial"/>
          <w:i/>
          <w:lang w:eastAsia="cs-CZ"/>
        </w:rPr>
        <w:t xml:space="preserve">Velký úspěch Residence Garden </w:t>
      </w:r>
      <w:proofErr w:type="spellStart"/>
      <w:r w:rsidR="006E3D61" w:rsidRPr="006E3D61">
        <w:rPr>
          <w:rFonts w:ascii="Arial" w:hAnsi="Arial" w:cs="Arial"/>
          <w:i/>
          <w:lang w:eastAsia="cs-CZ"/>
        </w:rPr>
        <w:t>Towers</w:t>
      </w:r>
      <w:proofErr w:type="spellEnd"/>
      <w:r w:rsidR="006E3D61" w:rsidRPr="006E3D61">
        <w:rPr>
          <w:rFonts w:ascii="Arial" w:hAnsi="Arial" w:cs="Arial"/>
          <w:i/>
          <w:lang w:eastAsia="cs-CZ"/>
        </w:rPr>
        <w:t xml:space="preserve">, našeho </w:t>
      </w:r>
      <w:r w:rsidR="00564E82">
        <w:rPr>
          <w:rFonts w:ascii="Arial" w:hAnsi="Arial" w:cs="Arial"/>
          <w:i/>
          <w:lang w:eastAsia="cs-CZ"/>
        </w:rPr>
        <w:t>unikátního</w:t>
      </w:r>
      <w:r w:rsidR="006E3D61" w:rsidRPr="006E3D61">
        <w:rPr>
          <w:rFonts w:ascii="Arial" w:hAnsi="Arial" w:cs="Arial"/>
          <w:i/>
          <w:lang w:eastAsia="cs-CZ"/>
        </w:rPr>
        <w:t xml:space="preserve"> konceptu bydlení v centru Prahy s recepcí, komerčními prostory a </w:t>
      </w:r>
      <w:r w:rsidR="0002419E">
        <w:rPr>
          <w:rFonts w:ascii="Arial" w:hAnsi="Arial" w:cs="Arial"/>
          <w:i/>
          <w:lang w:eastAsia="cs-CZ"/>
        </w:rPr>
        <w:t xml:space="preserve">praktickými </w:t>
      </w:r>
      <w:r w:rsidR="006E3D61" w:rsidRPr="006E3D61">
        <w:rPr>
          <w:rFonts w:ascii="Arial" w:hAnsi="Arial" w:cs="Arial"/>
          <w:i/>
          <w:lang w:eastAsia="cs-CZ"/>
        </w:rPr>
        <w:t xml:space="preserve">službami pro rezidenty, nás přesvědčuje o tom, že rostoucí zájem o byty v centru a širším centru </w:t>
      </w:r>
      <w:r w:rsidR="0002419E">
        <w:rPr>
          <w:rFonts w:ascii="Arial" w:hAnsi="Arial" w:cs="Arial"/>
          <w:i/>
          <w:lang w:eastAsia="cs-CZ"/>
        </w:rPr>
        <w:t>za dostupné ceny</w:t>
      </w:r>
      <w:r w:rsidR="006E3D61" w:rsidRPr="006E3D61">
        <w:rPr>
          <w:rFonts w:ascii="Arial" w:hAnsi="Arial" w:cs="Arial"/>
          <w:i/>
          <w:lang w:eastAsia="cs-CZ"/>
        </w:rPr>
        <w:t xml:space="preserve"> je novým </w:t>
      </w:r>
      <w:r w:rsidR="00564E82">
        <w:rPr>
          <w:rFonts w:ascii="Arial" w:hAnsi="Arial" w:cs="Arial"/>
          <w:i/>
          <w:lang w:eastAsia="cs-CZ"/>
        </w:rPr>
        <w:t xml:space="preserve">nastupujícím </w:t>
      </w:r>
      <w:r w:rsidR="006E3D61" w:rsidRPr="006E3D61">
        <w:rPr>
          <w:rFonts w:ascii="Arial" w:hAnsi="Arial" w:cs="Arial"/>
          <w:i/>
          <w:lang w:eastAsia="cs-CZ"/>
        </w:rPr>
        <w:t xml:space="preserve">trendem. Proto již na podzim letošního roku zahájíme prodej </w:t>
      </w:r>
      <w:r w:rsidR="00564E82">
        <w:rPr>
          <w:rFonts w:ascii="Arial" w:hAnsi="Arial" w:cs="Arial"/>
          <w:i/>
          <w:lang w:eastAsia="cs-CZ"/>
        </w:rPr>
        <w:t xml:space="preserve">dalších </w:t>
      </w:r>
      <w:r w:rsidR="006E3D61" w:rsidRPr="006E3D61">
        <w:rPr>
          <w:rFonts w:ascii="Arial" w:hAnsi="Arial" w:cs="Arial"/>
          <w:i/>
          <w:lang w:eastAsia="cs-CZ"/>
        </w:rPr>
        <w:t xml:space="preserve">sedmi nových lokalit, z nichž pět bude </w:t>
      </w:r>
      <w:r w:rsidR="0002419E">
        <w:rPr>
          <w:rFonts w:ascii="Arial" w:hAnsi="Arial" w:cs="Arial"/>
          <w:i/>
          <w:lang w:eastAsia="cs-CZ"/>
        </w:rPr>
        <w:t>právě</w:t>
      </w:r>
      <w:bookmarkStart w:id="0" w:name="_GoBack"/>
      <w:bookmarkEnd w:id="0"/>
      <w:r w:rsidR="006E3D61" w:rsidRPr="006E3D61">
        <w:rPr>
          <w:rFonts w:ascii="Arial" w:hAnsi="Arial" w:cs="Arial"/>
          <w:i/>
          <w:lang w:eastAsia="cs-CZ"/>
        </w:rPr>
        <w:t xml:space="preserve"> v centru nebo širším centru </w:t>
      </w:r>
      <w:r w:rsidR="0002419E">
        <w:rPr>
          <w:rFonts w:ascii="Arial" w:hAnsi="Arial" w:cs="Arial"/>
          <w:i/>
          <w:lang w:eastAsia="cs-CZ"/>
        </w:rPr>
        <w:t>metropole</w:t>
      </w:r>
      <w:r w:rsidR="006E3D61" w:rsidRPr="006E3D61">
        <w:rPr>
          <w:rFonts w:ascii="Arial" w:hAnsi="Arial" w:cs="Arial"/>
          <w:i/>
          <w:lang w:eastAsia="cs-CZ"/>
        </w:rPr>
        <w:t>,“</w:t>
      </w:r>
      <w:r w:rsidR="006E3D61">
        <w:rPr>
          <w:rFonts w:ascii="Arial" w:hAnsi="Arial" w:cs="Arial"/>
          <w:lang w:eastAsia="cs-CZ"/>
        </w:rPr>
        <w:t xml:space="preserve"> dodává Dušan Kunovský.</w:t>
      </w:r>
    </w:p>
    <w:p w:rsidR="006148ED" w:rsidRPr="00C33FE8" w:rsidRDefault="006148ED" w:rsidP="00344915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6E3D61" w:rsidRDefault="006E3D61" w:rsidP="00344915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Mezi </w:t>
      </w:r>
      <w:r w:rsidR="00564E82">
        <w:rPr>
          <w:rFonts w:ascii="Arial" w:hAnsi="Arial" w:cs="Arial"/>
          <w:lang w:eastAsia="cs-CZ"/>
        </w:rPr>
        <w:t xml:space="preserve">těmito </w:t>
      </w:r>
      <w:r>
        <w:rPr>
          <w:rFonts w:ascii="Arial" w:hAnsi="Arial" w:cs="Arial"/>
          <w:lang w:eastAsia="cs-CZ"/>
        </w:rPr>
        <w:t>lokalitami, v nichž CENTRAL GROUP nabíd</w:t>
      </w:r>
      <w:r w:rsidR="00344915">
        <w:rPr>
          <w:rFonts w:ascii="Arial" w:hAnsi="Arial" w:cs="Arial"/>
          <w:lang w:eastAsia="cs-CZ"/>
        </w:rPr>
        <w:t>n</w:t>
      </w:r>
      <w:r>
        <w:rPr>
          <w:rFonts w:ascii="Arial" w:hAnsi="Arial" w:cs="Arial"/>
          <w:lang w:eastAsia="cs-CZ"/>
        </w:rPr>
        <w:t xml:space="preserve">e dalších více než 700 bytů, </w:t>
      </w:r>
      <w:r w:rsidR="00564E82">
        <w:rPr>
          <w:rFonts w:ascii="Arial" w:hAnsi="Arial" w:cs="Arial"/>
          <w:lang w:eastAsia="cs-CZ"/>
        </w:rPr>
        <w:t>budou</w:t>
      </w:r>
      <w:r>
        <w:rPr>
          <w:rFonts w:ascii="Arial" w:hAnsi="Arial" w:cs="Arial"/>
          <w:lang w:eastAsia="cs-CZ"/>
        </w:rPr>
        <w:t xml:space="preserve"> vedle dalších etap úspěšných </w:t>
      </w:r>
      <w:r w:rsidR="00564E82">
        <w:rPr>
          <w:rFonts w:ascii="Arial" w:hAnsi="Arial" w:cs="Arial"/>
          <w:lang w:eastAsia="cs-CZ"/>
        </w:rPr>
        <w:t xml:space="preserve">velkých </w:t>
      </w:r>
      <w:r>
        <w:rPr>
          <w:rFonts w:ascii="Arial" w:hAnsi="Arial" w:cs="Arial"/>
          <w:lang w:eastAsia="cs-CZ"/>
        </w:rPr>
        <w:t xml:space="preserve">projektů v Letňanech a Pitkovicích také </w:t>
      </w:r>
      <w:r w:rsidR="00564E82">
        <w:rPr>
          <w:rFonts w:ascii="Arial" w:hAnsi="Arial" w:cs="Arial"/>
          <w:lang w:eastAsia="cs-CZ"/>
        </w:rPr>
        <w:t xml:space="preserve">úplně </w:t>
      </w:r>
      <w:r>
        <w:rPr>
          <w:rFonts w:ascii="Arial" w:hAnsi="Arial" w:cs="Arial"/>
          <w:lang w:eastAsia="cs-CZ"/>
        </w:rPr>
        <w:t>nové projekty například na Břevnově, v Holeš</w:t>
      </w:r>
      <w:r w:rsidR="00564E82">
        <w:rPr>
          <w:rFonts w:ascii="Arial" w:hAnsi="Arial" w:cs="Arial"/>
          <w:lang w:eastAsia="cs-CZ"/>
        </w:rPr>
        <w:t>ovicích nebo na Palmovce. Zcela u</w:t>
      </w:r>
      <w:r>
        <w:rPr>
          <w:rFonts w:ascii="Arial" w:hAnsi="Arial" w:cs="Arial"/>
          <w:lang w:eastAsia="cs-CZ"/>
        </w:rPr>
        <w:t xml:space="preserve">nikátní pak bude nabídka dokončených </w:t>
      </w:r>
      <w:r w:rsidR="00564E82">
        <w:rPr>
          <w:rFonts w:ascii="Arial" w:hAnsi="Arial" w:cs="Arial"/>
          <w:lang w:eastAsia="cs-CZ"/>
        </w:rPr>
        <w:t>exkluzivních</w:t>
      </w:r>
      <w:r>
        <w:rPr>
          <w:rFonts w:ascii="Arial" w:hAnsi="Arial" w:cs="Arial"/>
          <w:lang w:eastAsia="cs-CZ"/>
        </w:rPr>
        <w:t xml:space="preserve"> projektů </w:t>
      </w:r>
      <w:r w:rsidR="00564E82">
        <w:rPr>
          <w:rFonts w:ascii="Arial" w:hAnsi="Arial" w:cs="Arial"/>
          <w:lang w:eastAsia="cs-CZ"/>
        </w:rPr>
        <w:t xml:space="preserve">Rezidence U Muzea </w:t>
      </w:r>
      <w:r>
        <w:rPr>
          <w:rFonts w:ascii="Arial" w:hAnsi="Arial" w:cs="Arial"/>
          <w:lang w:eastAsia="cs-CZ"/>
        </w:rPr>
        <w:t>nad Václavským náměs</w:t>
      </w:r>
      <w:r w:rsidR="00564E82">
        <w:rPr>
          <w:rFonts w:ascii="Arial" w:hAnsi="Arial" w:cs="Arial"/>
          <w:lang w:eastAsia="cs-CZ"/>
        </w:rPr>
        <w:t xml:space="preserve">tím v Praze 2 – Vinohradech a Rezidence Park </w:t>
      </w:r>
      <w:proofErr w:type="spellStart"/>
      <w:r w:rsidR="00564E82">
        <w:rPr>
          <w:rFonts w:ascii="Arial" w:hAnsi="Arial" w:cs="Arial"/>
          <w:lang w:eastAsia="cs-CZ"/>
        </w:rPr>
        <w:t>Nikolajka</w:t>
      </w:r>
      <w:proofErr w:type="spellEnd"/>
      <w:r>
        <w:rPr>
          <w:rFonts w:ascii="Arial" w:hAnsi="Arial" w:cs="Arial"/>
          <w:lang w:eastAsia="cs-CZ"/>
        </w:rPr>
        <w:t xml:space="preserve"> v Praze 5 – Smíchově. </w:t>
      </w:r>
    </w:p>
    <w:p w:rsidR="00C33FE8" w:rsidRDefault="00C33FE8" w:rsidP="00344915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4915" w:rsidRPr="00344915" w:rsidRDefault="00344915" w:rsidP="00344915">
      <w:pPr>
        <w:spacing w:after="0"/>
        <w:contextualSpacing/>
        <w:jc w:val="both"/>
        <w:rPr>
          <w:rFonts w:ascii="Arial" w:hAnsi="Arial" w:cs="Arial"/>
          <w:sz w:val="12"/>
          <w:szCs w:val="12"/>
          <w:lang w:eastAsia="cs-CZ"/>
        </w:rPr>
      </w:pPr>
    </w:p>
    <w:p w:rsidR="00CF65A3" w:rsidRDefault="006148ED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37ABACA">
            <wp:extent cx="6094038" cy="269557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16" cy="270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FE8" w:rsidRDefault="00C33FE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64E82" w:rsidRDefault="00564E8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F65A3" w:rsidRDefault="006148ED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3EF7C6B">
            <wp:extent cx="6097447" cy="2705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58" cy="271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A93" w:rsidRDefault="00A01A9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01A93" w:rsidRDefault="00A01A9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10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C33FE8">
      <w:headerReference w:type="default" r:id="rId14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38" w:rsidRDefault="00847D38" w:rsidP="00655B14">
      <w:pPr>
        <w:spacing w:after="0" w:line="240" w:lineRule="auto"/>
      </w:pPr>
      <w:r>
        <w:separator/>
      </w:r>
    </w:p>
  </w:endnote>
  <w:endnote w:type="continuationSeparator" w:id="0">
    <w:p w:rsidR="00847D38" w:rsidRDefault="00847D38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38" w:rsidRDefault="00847D38" w:rsidP="00655B14">
      <w:pPr>
        <w:spacing w:after="0" w:line="240" w:lineRule="auto"/>
      </w:pPr>
      <w:r>
        <w:separator/>
      </w:r>
    </w:p>
  </w:footnote>
  <w:footnote w:type="continuationSeparator" w:id="0">
    <w:p w:rsidR="00847D38" w:rsidRDefault="00847D38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0B9D9F04" wp14:editId="38EA11A7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4FC7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06B40C29" wp14:editId="4443483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6148ED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10.8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19E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9E1"/>
    <w:rsid w:val="00184AA4"/>
    <w:rsid w:val="001975BF"/>
    <w:rsid w:val="001A0918"/>
    <w:rsid w:val="001A0E14"/>
    <w:rsid w:val="001A60F5"/>
    <w:rsid w:val="001A6619"/>
    <w:rsid w:val="001B7101"/>
    <w:rsid w:val="001B7358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20BE"/>
    <w:rsid w:val="003B2626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7CA"/>
    <w:rsid w:val="004269C0"/>
    <w:rsid w:val="0043290F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4E82"/>
    <w:rsid w:val="00567B05"/>
    <w:rsid w:val="00573A57"/>
    <w:rsid w:val="00574AB5"/>
    <w:rsid w:val="00575350"/>
    <w:rsid w:val="00575DE9"/>
    <w:rsid w:val="00582D61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48ED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55B14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42D0"/>
    <w:rsid w:val="006D4ABB"/>
    <w:rsid w:val="006E3D61"/>
    <w:rsid w:val="006E6B4E"/>
    <w:rsid w:val="006F1257"/>
    <w:rsid w:val="007012BA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51B24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47D38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581E"/>
    <w:rsid w:val="0090691F"/>
    <w:rsid w:val="00910082"/>
    <w:rsid w:val="00913C66"/>
    <w:rsid w:val="0091594A"/>
    <w:rsid w:val="009220BB"/>
    <w:rsid w:val="00924562"/>
    <w:rsid w:val="0092496C"/>
    <w:rsid w:val="009271B7"/>
    <w:rsid w:val="0093017D"/>
    <w:rsid w:val="009334FD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2428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42407"/>
    <w:rsid w:val="00B538CF"/>
    <w:rsid w:val="00B60727"/>
    <w:rsid w:val="00B619C7"/>
    <w:rsid w:val="00B67D94"/>
    <w:rsid w:val="00B7066A"/>
    <w:rsid w:val="00B71542"/>
    <w:rsid w:val="00B824C4"/>
    <w:rsid w:val="00B85D8C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1DD3"/>
    <w:rsid w:val="00BF658E"/>
    <w:rsid w:val="00C1171C"/>
    <w:rsid w:val="00C21837"/>
    <w:rsid w:val="00C311B7"/>
    <w:rsid w:val="00C3154B"/>
    <w:rsid w:val="00C3267B"/>
    <w:rsid w:val="00C3325A"/>
    <w:rsid w:val="00C33FE8"/>
    <w:rsid w:val="00C50EB7"/>
    <w:rsid w:val="00C51093"/>
    <w:rsid w:val="00C5699A"/>
    <w:rsid w:val="00C6039E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4FA8"/>
    <w:rsid w:val="00CD6B89"/>
    <w:rsid w:val="00CE2CDA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A7E41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36A4D"/>
    <w:rsid w:val="00F40767"/>
    <w:rsid w:val="00F64DA9"/>
    <w:rsid w:val="00F66BB9"/>
    <w:rsid w:val="00F71634"/>
    <w:rsid w:val="00F80AF7"/>
    <w:rsid w:val="00F83112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5617-5D53-410D-8321-46B486F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CBF0-DE7B-45B2-A5CA-E67B9769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jankovsky</cp:lastModifiedBy>
  <cp:revision>13</cp:revision>
  <cp:lastPrinted>2015-08-03T12:16:00Z</cp:lastPrinted>
  <dcterms:created xsi:type="dcterms:W3CDTF">2015-05-28T09:21:00Z</dcterms:created>
  <dcterms:modified xsi:type="dcterms:W3CDTF">2015-08-10T11:41:00Z</dcterms:modified>
</cp:coreProperties>
</file>