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CE" w:rsidRDefault="00A64B54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Polovin</w:t>
      </w:r>
      <w:r w:rsidR="00B12E70">
        <w:rPr>
          <w:rFonts w:ascii="Arial Black" w:hAnsi="Arial Black"/>
          <w:color w:val="000000" w:themeColor="text1"/>
          <w:sz w:val="28"/>
          <w:szCs w:val="28"/>
        </w:rPr>
        <w:t>a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nejprodá</w:t>
      </w:r>
      <w:bookmarkStart w:id="0" w:name="_GoBack"/>
      <w:bookmarkEnd w:id="0"/>
      <w:r>
        <w:rPr>
          <w:rFonts w:ascii="Arial Black" w:hAnsi="Arial Black"/>
          <w:color w:val="000000" w:themeColor="text1"/>
          <w:sz w:val="28"/>
          <w:szCs w:val="28"/>
        </w:rPr>
        <w:t xml:space="preserve">vanějších projektů </w:t>
      </w:r>
      <w:r w:rsidR="00B12E70">
        <w:rPr>
          <w:rFonts w:ascii="Arial Black" w:hAnsi="Arial Black"/>
          <w:color w:val="000000" w:themeColor="text1"/>
          <w:sz w:val="28"/>
          <w:szCs w:val="28"/>
        </w:rPr>
        <w:t>v Praze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je z dílny dvou největších developerů</w:t>
      </w:r>
    </w:p>
    <w:p w:rsidR="006D26FA" w:rsidRPr="006D26FA" w:rsidRDefault="006D26FA" w:rsidP="008E5D7B">
      <w:pPr>
        <w:spacing w:after="0"/>
        <w:rPr>
          <w:rFonts w:ascii="Arial Black" w:hAnsi="Arial Black"/>
          <w:color w:val="000000" w:themeColor="text1"/>
          <w:sz w:val="20"/>
          <w:szCs w:val="20"/>
        </w:rPr>
      </w:pPr>
    </w:p>
    <w:p w:rsidR="000F1B82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237A96">
        <w:rPr>
          <w:rFonts w:ascii="Arial" w:hAnsi="Arial" w:cs="Arial"/>
          <w:i/>
          <w:lang w:eastAsia="cs-CZ"/>
        </w:rPr>
        <w:t xml:space="preserve">Praha, </w:t>
      </w:r>
      <w:r w:rsidR="00BF6DF1">
        <w:rPr>
          <w:rFonts w:ascii="Arial" w:hAnsi="Arial" w:cs="Arial"/>
          <w:i/>
          <w:lang w:eastAsia="cs-CZ"/>
        </w:rPr>
        <w:t>5</w:t>
      </w:r>
      <w:r w:rsidR="00541CA7" w:rsidRPr="00237A96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</w:t>
      </w:r>
      <w:r w:rsidR="00BF6DF1">
        <w:rPr>
          <w:rFonts w:ascii="Arial" w:hAnsi="Arial" w:cs="Arial"/>
          <w:i/>
          <w:lang w:eastAsia="cs-CZ"/>
        </w:rPr>
        <w:t>4</w:t>
      </w:r>
      <w:r w:rsidR="000854B7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201</w:t>
      </w:r>
      <w:r w:rsidR="007B2F43">
        <w:rPr>
          <w:rFonts w:ascii="Arial" w:hAnsi="Arial" w:cs="Arial"/>
          <w:i/>
          <w:lang w:eastAsia="cs-CZ"/>
        </w:rPr>
        <w:t>7</w:t>
      </w:r>
      <w:r w:rsidR="000266CE" w:rsidRPr="00237A96">
        <w:rPr>
          <w:rFonts w:ascii="Arial" w:hAnsi="Arial" w:cs="Arial"/>
          <w:i/>
          <w:lang w:eastAsia="cs-CZ"/>
        </w:rPr>
        <w:t xml:space="preserve"> –</w:t>
      </w:r>
      <w:r w:rsidR="00DF261B" w:rsidRPr="00FE0C65">
        <w:rPr>
          <w:rFonts w:ascii="Arial" w:hAnsi="Arial" w:cs="Arial"/>
          <w:b/>
          <w:i/>
          <w:lang w:eastAsia="cs-CZ"/>
        </w:rPr>
        <w:t xml:space="preserve"> </w:t>
      </w:r>
      <w:bookmarkStart w:id="1" w:name="_Hlk479150880"/>
      <w:r w:rsidR="00A64B54">
        <w:rPr>
          <w:rFonts w:ascii="Arial" w:hAnsi="Arial" w:cs="Arial"/>
          <w:b/>
          <w:lang w:eastAsia="cs-CZ"/>
        </w:rPr>
        <w:t>Polovina Top 10 nejprodávanějších projektů na</w:t>
      </w:r>
      <w:r w:rsidR="00B12E70">
        <w:rPr>
          <w:rFonts w:ascii="Arial" w:hAnsi="Arial" w:cs="Arial"/>
          <w:b/>
          <w:lang w:eastAsia="cs-CZ"/>
        </w:rPr>
        <w:t xml:space="preserve"> pražském</w:t>
      </w:r>
      <w:r w:rsidR="00A64B54">
        <w:rPr>
          <w:rFonts w:ascii="Arial" w:hAnsi="Arial" w:cs="Arial"/>
          <w:b/>
          <w:lang w:eastAsia="cs-CZ"/>
        </w:rPr>
        <w:t xml:space="preserve"> trhu je z dílny dvou největších developerů. </w:t>
      </w:r>
      <w:proofErr w:type="spellStart"/>
      <w:r w:rsidR="00A64B54">
        <w:rPr>
          <w:rFonts w:ascii="Arial" w:hAnsi="Arial" w:cs="Arial"/>
          <w:b/>
          <w:lang w:eastAsia="cs-CZ"/>
        </w:rPr>
        <w:t>Central</w:t>
      </w:r>
      <w:proofErr w:type="spellEnd"/>
      <w:r w:rsidR="00A64B54">
        <w:rPr>
          <w:rFonts w:ascii="Arial" w:hAnsi="Arial" w:cs="Arial"/>
          <w:b/>
          <w:lang w:eastAsia="cs-CZ"/>
        </w:rPr>
        <w:t xml:space="preserve"> Group a </w:t>
      </w:r>
      <w:proofErr w:type="spellStart"/>
      <w:r w:rsidR="00A64B54">
        <w:rPr>
          <w:rFonts w:ascii="Arial" w:hAnsi="Arial" w:cs="Arial"/>
          <w:b/>
          <w:lang w:eastAsia="cs-CZ"/>
        </w:rPr>
        <w:t>Finep</w:t>
      </w:r>
      <w:proofErr w:type="spellEnd"/>
      <w:r w:rsidR="00A64B54">
        <w:rPr>
          <w:rFonts w:ascii="Arial" w:hAnsi="Arial" w:cs="Arial"/>
          <w:b/>
          <w:lang w:eastAsia="cs-CZ"/>
        </w:rPr>
        <w:t xml:space="preserve"> obsadili hned čtyři </w:t>
      </w:r>
      <w:r w:rsidR="00B12E70">
        <w:rPr>
          <w:rFonts w:ascii="Arial" w:hAnsi="Arial" w:cs="Arial"/>
          <w:b/>
          <w:lang w:eastAsia="cs-CZ"/>
        </w:rPr>
        <w:t xml:space="preserve">první </w:t>
      </w:r>
      <w:r w:rsidR="00A64B54">
        <w:rPr>
          <w:rFonts w:ascii="Arial" w:hAnsi="Arial" w:cs="Arial"/>
          <w:b/>
          <w:lang w:eastAsia="cs-CZ"/>
        </w:rPr>
        <w:t xml:space="preserve">příčky žebříčku loni nejprodávanějších </w:t>
      </w:r>
      <w:r w:rsidR="000F1B82">
        <w:rPr>
          <w:rFonts w:ascii="Arial" w:hAnsi="Arial" w:cs="Arial"/>
          <w:b/>
          <w:lang w:eastAsia="cs-CZ"/>
        </w:rPr>
        <w:t xml:space="preserve">pražských </w:t>
      </w:r>
      <w:r w:rsidR="00A64B54">
        <w:rPr>
          <w:rFonts w:ascii="Arial" w:hAnsi="Arial" w:cs="Arial"/>
          <w:b/>
          <w:lang w:eastAsia="cs-CZ"/>
        </w:rPr>
        <w:t xml:space="preserve">projektů. Tím projektem, o který byl loni největší zájem, byly Letňanské zahrady společnosti </w:t>
      </w:r>
      <w:proofErr w:type="spellStart"/>
      <w:r w:rsidR="00A64B54">
        <w:rPr>
          <w:rFonts w:ascii="Arial" w:hAnsi="Arial" w:cs="Arial"/>
          <w:b/>
          <w:lang w:eastAsia="cs-CZ"/>
        </w:rPr>
        <w:t>Central</w:t>
      </w:r>
      <w:proofErr w:type="spellEnd"/>
      <w:r w:rsidR="00A64B54">
        <w:rPr>
          <w:rFonts w:ascii="Arial" w:hAnsi="Arial" w:cs="Arial"/>
          <w:b/>
          <w:lang w:eastAsia="cs-CZ"/>
        </w:rPr>
        <w:t xml:space="preserve"> Group</w:t>
      </w:r>
      <w:r w:rsidR="000F1B82">
        <w:rPr>
          <w:rFonts w:ascii="Arial" w:hAnsi="Arial" w:cs="Arial"/>
          <w:b/>
          <w:lang w:eastAsia="cs-CZ"/>
        </w:rPr>
        <w:t xml:space="preserve">. </w:t>
      </w:r>
      <w:r w:rsidR="00B12E70">
        <w:rPr>
          <w:rFonts w:ascii="Arial" w:hAnsi="Arial" w:cs="Arial"/>
          <w:b/>
          <w:lang w:eastAsia="cs-CZ"/>
        </w:rPr>
        <w:t xml:space="preserve">Jen </w:t>
      </w:r>
      <w:r w:rsidR="00EF53E5">
        <w:rPr>
          <w:rFonts w:ascii="Arial" w:hAnsi="Arial" w:cs="Arial"/>
          <w:b/>
          <w:lang w:eastAsia="cs-CZ"/>
        </w:rPr>
        <w:t>zde</w:t>
      </w:r>
      <w:r w:rsidR="00B12E70">
        <w:rPr>
          <w:rFonts w:ascii="Arial" w:hAnsi="Arial" w:cs="Arial"/>
          <w:b/>
          <w:lang w:eastAsia="cs-CZ"/>
        </w:rPr>
        <w:t xml:space="preserve"> se p</w:t>
      </w:r>
      <w:r w:rsidR="000F1B82">
        <w:rPr>
          <w:rFonts w:ascii="Arial" w:hAnsi="Arial" w:cs="Arial"/>
          <w:b/>
          <w:lang w:eastAsia="cs-CZ"/>
        </w:rPr>
        <w:t xml:space="preserve">rodalo </w:t>
      </w:r>
      <w:r w:rsidR="00A64B54">
        <w:rPr>
          <w:rFonts w:ascii="Arial" w:hAnsi="Arial" w:cs="Arial"/>
          <w:b/>
          <w:lang w:eastAsia="cs-CZ"/>
        </w:rPr>
        <w:t>353 bytů</w:t>
      </w:r>
      <w:r w:rsidR="00424257">
        <w:rPr>
          <w:rFonts w:ascii="Arial" w:hAnsi="Arial" w:cs="Arial"/>
          <w:b/>
          <w:lang w:eastAsia="cs-CZ"/>
        </w:rPr>
        <w:t>, což je pět procent celkového pražského prodeje</w:t>
      </w:r>
      <w:r w:rsidR="00A64B54">
        <w:rPr>
          <w:rFonts w:ascii="Arial" w:hAnsi="Arial" w:cs="Arial"/>
          <w:b/>
          <w:lang w:eastAsia="cs-CZ"/>
        </w:rPr>
        <w:t xml:space="preserve">.  </w:t>
      </w:r>
      <w:r w:rsidR="000F1B82">
        <w:rPr>
          <w:rFonts w:ascii="Arial" w:hAnsi="Arial" w:cs="Arial"/>
          <w:b/>
          <w:lang w:eastAsia="cs-CZ"/>
        </w:rPr>
        <w:t xml:space="preserve">Prodej bytů v pěti nejprodávanějších projektech se podílel na celkovém loňském prodeji v Praze hned 20 procenty. </w:t>
      </w:r>
      <w:r w:rsidR="004F1830">
        <w:rPr>
          <w:rFonts w:ascii="Arial" w:hAnsi="Arial" w:cs="Arial"/>
          <w:b/>
          <w:lang w:eastAsia="cs-CZ"/>
        </w:rPr>
        <w:t xml:space="preserve">Vyplývá to ze společných analýz firem </w:t>
      </w:r>
      <w:proofErr w:type="spellStart"/>
      <w:r w:rsidR="004F1830">
        <w:rPr>
          <w:rFonts w:ascii="Arial" w:hAnsi="Arial" w:cs="Arial"/>
          <w:b/>
          <w:lang w:eastAsia="cs-CZ"/>
        </w:rPr>
        <w:t>Central</w:t>
      </w:r>
      <w:proofErr w:type="spellEnd"/>
      <w:r w:rsidR="004F1830">
        <w:rPr>
          <w:rFonts w:ascii="Arial" w:hAnsi="Arial" w:cs="Arial"/>
          <w:b/>
          <w:lang w:eastAsia="cs-CZ"/>
        </w:rPr>
        <w:t xml:space="preserve"> Group, </w:t>
      </w:r>
      <w:proofErr w:type="spellStart"/>
      <w:r w:rsidR="004F1830">
        <w:rPr>
          <w:rFonts w:ascii="Arial" w:hAnsi="Arial" w:cs="Arial"/>
          <w:b/>
          <w:lang w:eastAsia="cs-CZ"/>
        </w:rPr>
        <w:t>Trigema</w:t>
      </w:r>
      <w:proofErr w:type="spellEnd"/>
      <w:r w:rsidR="004F1830">
        <w:rPr>
          <w:rFonts w:ascii="Arial" w:hAnsi="Arial" w:cs="Arial"/>
          <w:b/>
          <w:lang w:eastAsia="cs-CZ"/>
        </w:rPr>
        <w:t xml:space="preserve"> a Skanska Reality. </w:t>
      </w:r>
    </w:p>
    <w:bookmarkEnd w:id="1"/>
    <w:p w:rsidR="000F1B82" w:rsidRDefault="000F1B82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0F1B82" w:rsidRPr="00424257" w:rsidRDefault="000F1B82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0F1B82">
        <w:rPr>
          <w:rFonts w:ascii="Arial" w:hAnsi="Arial" w:cs="Arial"/>
          <w:lang w:eastAsia="cs-CZ"/>
        </w:rPr>
        <w:t xml:space="preserve">Na žebříčku nejprodávanějších projektů je </w:t>
      </w:r>
      <w:r>
        <w:rPr>
          <w:rFonts w:ascii="Arial" w:hAnsi="Arial" w:cs="Arial"/>
          <w:lang w:eastAsia="cs-CZ"/>
        </w:rPr>
        <w:t>dobře</w:t>
      </w:r>
      <w:r w:rsidRPr="000F1B82">
        <w:rPr>
          <w:rFonts w:ascii="Arial" w:hAnsi="Arial" w:cs="Arial"/>
          <w:lang w:eastAsia="cs-CZ"/>
        </w:rPr>
        <w:t xml:space="preserve"> vidět koncentrace trhu do rukou velkých firem. </w:t>
      </w:r>
      <w:r w:rsidRPr="000F1B82">
        <w:rPr>
          <w:rFonts w:ascii="Arial" w:hAnsi="Arial" w:cs="Arial"/>
          <w:i/>
          <w:lang w:eastAsia="cs-CZ"/>
        </w:rPr>
        <w:t>„Jen velký developer je totiž schopen dodávat na trh velké rozvojové projekty a stavět celé nové městské čtvrti s občanskou vybaveností,“</w:t>
      </w:r>
      <w:r w:rsidRPr="000F1B82">
        <w:rPr>
          <w:rFonts w:ascii="Arial" w:hAnsi="Arial" w:cs="Arial"/>
          <w:lang w:eastAsia="cs-CZ"/>
        </w:rPr>
        <w:t xml:space="preserve"> řekla výkonná ředitelka </w:t>
      </w:r>
      <w:proofErr w:type="spellStart"/>
      <w:r w:rsidRPr="000F1B82">
        <w:rPr>
          <w:rFonts w:ascii="Arial" w:hAnsi="Arial" w:cs="Arial"/>
          <w:lang w:eastAsia="cs-CZ"/>
        </w:rPr>
        <w:t>Central</w:t>
      </w:r>
      <w:proofErr w:type="spellEnd"/>
      <w:r w:rsidRPr="000F1B82">
        <w:rPr>
          <w:rFonts w:ascii="Arial" w:hAnsi="Arial" w:cs="Arial"/>
          <w:lang w:eastAsia="cs-CZ"/>
        </w:rPr>
        <w:t xml:space="preserve"> Group Michaela Tomášková. </w:t>
      </w:r>
      <w:r w:rsidR="00424257" w:rsidRPr="00424257">
        <w:rPr>
          <w:rFonts w:ascii="Arial" w:hAnsi="Arial" w:cs="Arial"/>
          <w:i/>
          <w:lang w:eastAsia="cs-CZ"/>
        </w:rPr>
        <w:t>„</w:t>
      </w:r>
      <w:r w:rsidRPr="00424257">
        <w:rPr>
          <w:rFonts w:ascii="Arial" w:hAnsi="Arial" w:cs="Arial"/>
          <w:i/>
          <w:lang w:eastAsia="cs-CZ"/>
        </w:rPr>
        <w:t>Právě takové projekty</w:t>
      </w:r>
      <w:r w:rsidR="00EF53E5" w:rsidRPr="00424257">
        <w:rPr>
          <w:rFonts w:ascii="Arial" w:hAnsi="Arial" w:cs="Arial"/>
          <w:i/>
          <w:lang w:eastAsia="cs-CZ"/>
        </w:rPr>
        <w:t xml:space="preserve"> by mělo město </w:t>
      </w:r>
      <w:r w:rsidR="00F550F7" w:rsidRPr="00424257">
        <w:rPr>
          <w:rFonts w:ascii="Arial" w:hAnsi="Arial" w:cs="Arial"/>
          <w:i/>
          <w:lang w:eastAsia="cs-CZ"/>
        </w:rPr>
        <w:t xml:space="preserve">a městské části </w:t>
      </w:r>
      <w:r w:rsidR="00EF53E5" w:rsidRPr="00424257">
        <w:rPr>
          <w:rFonts w:ascii="Arial" w:hAnsi="Arial" w:cs="Arial"/>
          <w:i/>
          <w:lang w:eastAsia="cs-CZ"/>
        </w:rPr>
        <w:t>podporovat. Je přece v je</w:t>
      </w:r>
      <w:r w:rsidR="00F550F7" w:rsidRPr="00424257">
        <w:rPr>
          <w:rFonts w:ascii="Arial" w:hAnsi="Arial" w:cs="Arial"/>
          <w:i/>
          <w:lang w:eastAsia="cs-CZ"/>
        </w:rPr>
        <w:t>jich</w:t>
      </w:r>
      <w:r w:rsidR="00EF53E5" w:rsidRPr="00424257">
        <w:rPr>
          <w:rFonts w:ascii="Arial" w:hAnsi="Arial" w:cs="Arial"/>
          <w:i/>
          <w:lang w:eastAsia="cs-CZ"/>
        </w:rPr>
        <w:t xml:space="preserve"> zájmu, aby vznikaly projekty</w:t>
      </w:r>
      <w:r w:rsidRPr="00424257">
        <w:rPr>
          <w:rFonts w:ascii="Arial" w:hAnsi="Arial" w:cs="Arial"/>
          <w:i/>
          <w:lang w:eastAsia="cs-CZ"/>
        </w:rPr>
        <w:t xml:space="preserve">, které současně </w:t>
      </w:r>
      <w:r w:rsidR="00734007" w:rsidRPr="00424257">
        <w:rPr>
          <w:rFonts w:ascii="Arial" w:hAnsi="Arial" w:cs="Arial"/>
          <w:i/>
          <w:lang w:eastAsia="cs-CZ"/>
        </w:rPr>
        <w:t>vytvoří</w:t>
      </w:r>
      <w:r w:rsidRPr="00424257">
        <w:rPr>
          <w:rFonts w:ascii="Arial" w:hAnsi="Arial" w:cs="Arial"/>
          <w:i/>
          <w:lang w:eastAsia="cs-CZ"/>
        </w:rPr>
        <w:t xml:space="preserve"> velké množství bytů a developer je </w:t>
      </w:r>
      <w:r w:rsidR="00734007" w:rsidRPr="00424257">
        <w:rPr>
          <w:rFonts w:ascii="Arial" w:hAnsi="Arial" w:cs="Arial"/>
          <w:i/>
          <w:lang w:eastAsia="cs-CZ"/>
        </w:rPr>
        <w:t xml:space="preserve">díky tomu </w:t>
      </w:r>
      <w:r w:rsidRPr="00424257">
        <w:rPr>
          <w:rFonts w:ascii="Arial" w:hAnsi="Arial" w:cs="Arial"/>
          <w:i/>
          <w:lang w:eastAsia="cs-CZ"/>
        </w:rPr>
        <w:t>schopen k nim nabídnout městské části také pomoc s budováním následné občanské vybavenosti, jako jsou například obchody</w:t>
      </w:r>
      <w:r w:rsidR="00EF53E5" w:rsidRPr="00424257">
        <w:rPr>
          <w:rFonts w:ascii="Arial" w:hAnsi="Arial" w:cs="Arial"/>
          <w:i/>
          <w:lang w:eastAsia="cs-CZ"/>
        </w:rPr>
        <w:t>, provozovny služeb, restaurace či</w:t>
      </w:r>
      <w:r w:rsidRPr="00424257">
        <w:rPr>
          <w:rFonts w:ascii="Arial" w:hAnsi="Arial" w:cs="Arial"/>
          <w:i/>
          <w:lang w:eastAsia="cs-CZ"/>
        </w:rPr>
        <w:t xml:space="preserve"> školky pro děti budoucích obyvate</w:t>
      </w:r>
      <w:r w:rsidR="00424257" w:rsidRPr="00424257">
        <w:rPr>
          <w:rFonts w:ascii="Arial" w:hAnsi="Arial" w:cs="Arial"/>
          <w:i/>
          <w:lang w:eastAsia="cs-CZ"/>
        </w:rPr>
        <w:t>l,“</w:t>
      </w:r>
      <w:r w:rsidR="00424257">
        <w:rPr>
          <w:rFonts w:ascii="Arial" w:hAnsi="Arial" w:cs="Arial"/>
          <w:lang w:eastAsia="cs-CZ"/>
        </w:rPr>
        <w:t xml:space="preserve"> dodala</w:t>
      </w:r>
      <w:r w:rsidR="00B12E70" w:rsidRPr="00424257">
        <w:rPr>
          <w:rFonts w:ascii="Arial" w:hAnsi="Arial" w:cs="Arial"/>
          <w:lang w:eastAsia="cs-CZ"/>
        </w:rPr>
        <w:t xml:space="preserve"> </w:t>
      </w:r>
    </w:p>
    <w:p w:rsidR="000F1B82" w:rsidRPr="000F1B82" w:rsidRDefault="000F1B82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tbl>
      <w:tblPr>
        <w:tblStyle w:val="Mkatabulky"/>
        <w:tblW w:w="9782" w:type="dxa"/>
        <w:tblLayout w:type="fixed"/>
        <w:tblLook w:val="04A0" w:firstRow="1" w:lastRow="0" w:firstColumn="1" w:lastColumn="0" w:noHBand="0" w:noVBand="1"/>
      </w:tblPr>
      <w:tblGrid>
        <w:gridCol w:w="1101"/>
        <w:gridCol w:w="2863"/>
        <w:gridCol w:w="2948"/>
        <w:gridCol w:w="2870"/>
      </w:tblGrid>
      <w:tr w:rsidR="00CA353C" w:rsidTr="00EF53E5">
        <w:tc>
          <w:tcPr>
            <w:tcW w:w="9782" w:type="dxa"/>
            <w:gridSpan w:val="4"/>
          </w:tcPr>
          <w:p w:rsidR="00CA353C" w:rsidRPr="00CA353C" w:rsidRDefault="00CA353C" w:rsidP="00DF3B22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TOP </w:t>
            </w:r>
            <w:r w:rsidR="00DF3B22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1</w:t>
            </w:r>
            <w:r w:rsidR="00424257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0 nejprodávanějších</w:t>
            </w:r>
            <w:r w:rsidRPr="00CA353C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 </w:t>
            </w:r>
            <w:r w:rsidR="00BF6DF1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projektů</w:t>
            </w:r>
            <w:r w:rsidRPr="00CA353C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 v Praze za rok 2016</w:t>
            </w:r>
          </w:p>
        </w:tc>
      </w:tr>
      <w:tr w:rsidR="00CA353C" w:rsidTr="00EF53E5">
        <w:tc>
          <w:tcPr>
            <w:tcW w:w="1101" w:type="dxa"/>
          </w:tcPr>
          <w:p w:rsidR="00CA353C" w:rsidRPr="00CA353C" w:rsidRDefault="00CA353C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863" w:type="dxa"/>
          </w:tcPr>
          <w:p w:rsidR="00CA353C" w:rsidRPr="00CA353C" w:rsidRDefault="00BF6DF1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2948" w:type="dxa"/>
          </w:tcPr>
          <w:p w:rsidR="00CA353C" w:rsidRPr="00CA353C" w:rsidRDefault="00BF6DF1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t>Developer</w:t>
            </w:r>
          </w:p>
        </w:tc>
        <w:tc>
          <w:tcPr>
            <w:tcW w:w="2870" w:type="dxa"/>
          </w:tcPr>
          <w:p w:rsidR="00CA353C" w:rsidRPr="00CA353C" w:rsidRDefault="00CA353C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Poč</w:t>
            </w:r>
            <w:r w:rsidR="00EB6EE8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et prodaných bytů</w:t>
            </w:r>
          </w:p>
        </w:tc>
      </w:tr>
      <w:tr w:rsidR="00BF6DF1" w:rsidRPr="00BF6DF1" w:rsidTr="00EF53E5">
        <w:tc>
          <w:tcPr>
            <w:tcW w:w="1101" w:type="dxa"/>
            <w:vAlign w:val="bottom"/>
          </w:tcPr>
          <w:p w:rsidR="00BF6DF1" w:rsidRPr="00BF6DF1" w:rsidRDefault="00BF6DF1" w:rsidP="00BF6D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863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Letňanské zahrady</w:t>
            </w:r>
          </w:p>
        </w:tc>
        <w:tc>
          <w:tcPr>
            <w:tcW w:w="2948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F6DF1">
              <w:rPr>
                <w:rFonts w:ascii="Arial" w:hAnsi="Arial" w:cs="Arial"/>
                <w:bCs/>
                <w:color w:val="000000"/>
              </w:rPr>
              <w:t>Central</w:t>
            </w:r>
            <w:proofErr w:type="spellEnd"/>
            <w:r w:rsidRPr="00BF6DF1">
              <w:rPr>
                <w:rFonts w:ascii="Arial" w:hAnsi="Arial" w:cs="Arial"/>
                <w:bCs/>
                <w:color w:val="000000"/>
              </w:rPr>
              <w:t xml:space="preserve"> Group</w:t>
            </w:r>
          </w:p>
        </w:tc>
        <w:tc>
          <w:tcPr>
            <w:tcW w:w="2870" w:type="dxa"/>
            <w:vAlign w:val="bottom"/>
          </w:tcPr>
          <w:p w:rsidR="00BF6DF1" w:rsidRPr="00BF6DF1" w:rsidRDefault="00BF6DF1" w:rsidP="00BF6DF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353</w:t>
            </w:r>
          </w:p>
        </w:tc>
      </w:tr>
      <w:tr w:rsidR="00BF6DF1" w:rsidRPr="00BF6DF1" w:rsidTr="00EF53E5">
        <w:tc>
          <w:tcPr>
            <w:tcW w:w="1101" w:type="dxa"/>
            <w:vAlign w:val="bottom"/>
          </w:tcPr>
          <w:p w:rsidR="00BF6DF1" w:rsidRPr="00BF6DF1" w:rsidRDefault="00BF6DF1" w:rsidP="00BF6D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863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Prosek Park</w:t>
            </w:r>
          </w:p>
        </w:tc>
        <w:tc>
          <w:tcPr>
            <w:tcW w:w="2948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F6DF1">
              <w:rPr>
                <w:rFonts w:ascii="Arial" w:hAnsi="Arial" w:cs="Arial"/>
                <w:bCs/>
                <w:color w:val="000000"/>
              </w:rPr>
              <w:t>Finep</w:t>
            </w:r>
            <w:proofErr w:type="spellEnd"/>
          </w:p>
        </w:tc>
        <w:tc>
          <w:tcPr>
            <w:tcW w:w="2870" w:type="dxa"/>
            <w:vAlign w:val="bottom"/>
          </w:tcPr>
          <w:p w:rsidR="00BF6DF1" w:rsidRPr="00BF6DF1" w:rsidRDefault="00BF6DF1" w:rsidP="00BF6DF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288</w:t>
            </w:r>
          </w:p>
        </w:tc>
      </w:tr>
      <w:tr w:rsidR="00BF6DF1" w:rsidRPr="00BF6DF1" w:rsidTr="00EF53E5">
        <w:tc>
          <w:tcPr>
            <w:tcW w:w="1101" w:type="dxa"/>
            <w:vAlign w:val="bottom"/>
          </w:tcPr>
          <w:p w:rsidR="00BF6DF1" w:rsidRPr="00BF6DF1" w:rsidRDefault="00BF6DF1" w:rsidP="00BF6D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863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 xml:space="preserve">Residence Garden </w:t>
            </w:r>
            <w:proofErr w:type="spellStart"/>
            <w:r w:rsidRPr="00BF6DF1">
              <w:rPr>
                <w:rFonts w:ascii="Arial" w:hAnsi="Arial" w:cs="Arial"/>
                <w:bCs/>
                <w:color w:val="000000"/>
              </w:rPr>
              <w:t>Towers</w:t>
            </w:r>
            <w:proofErr w:type="spellEnd"/>
          </w:p>
        </w:tc>
        <w:tc>
          <w:tcPr>
            <w:tcW w:w="2948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F6DF1">
              <w:rPr>
                <w:rFonts w:ascii="Arial" w:hAnsi="Arial" w:cs="Arial"/>
                <w:bCs/>
                <w:color w:val="000000"/>
              </w:rPr>
              <w:t>Central</w:t>
            </w:r>
            <w:proofErr w:type="spellEnd"/>
            <w:r w:rsidRPr="00BF6DF1">
              <w:rPr>
                <w:rFonts w:ascii="Arial" w:hAnsi="Arial" w:cs="Arial"/>
                <w:bCs/>
                <w:color w:val="000000"/>
              </w:rPr>
              <w:t xml:space="preserve"> Group</w:t>
            </w:r>
          </w:p>
        </w:tc>
        <w:tc>
          <w:tcPr>
            <w:tcW w:w="2870" w:type="dxa"/>
            <w:vAlign w:val="bottom"/>
          </w:tcPr>
          <w:p w:rsidR="00BF6DF1" w:rsidRPr="00BF6DF1" w:rsidRDefault="00BF6DF1" w:rsidP="00BF6DF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278</w:t>
            </w:r>
          </w:p>
        </w:tc>
      </w:tr>
      <w:tr w:rsidR="00BF6DF1" w:rsidRPr="00BF6DF1" w:rsidTr="00EF53E5">
        <w:tc>
          <w:tcPr>
            <w:tcW w:w="1101" w:type="dxa"/>
            <w:vAlign w:val="bottom"/>
          </w:tcPr>
          <w:p w:rsidR="00BF6DF1" w:rsidRPr="00BF6DF1" w:rsidRDefault="00BF6DF1" w:rsidP="00BF6D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863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Malý Háj</w:t>
            </w:r>
          </w:p>
        </w:tc>
        <w:tc>
          <w:tcPr>
            <w:tcW w:w="2948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F6DF1">
              <w:rPr>
                <w:rFonts w:ascii="Arial" w:hAnsi="Arial" w:cs="Arial"/>
                <w:bCs/>
                <w:color w:val="000000"/>
              </w:rPr>
              <w:t>Finep</w:t>
            </w:r>
            <w:proofErr w:type="spellEnd"/>
          </w:p>
        </w:tc>
        <w:tc>
          <w:tcPr>
            <w:tcW w:w="2870" w:type="dxa"/>
            <w:vAlign w:val="bottom"/>
          </w:tcPr>
          <w:p w:rsidR="00BF6DF1" w:rsidRPr="00BF6DF1" w:rsidRDefault="00BF6DF1" w:rsidP="00BF6DF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215</w:t>
            </w:r>
          </w:p>
        </w:tc>
      </w:tr>
      <w:tr w:rsidR="00BF6DF1" w:rsidRPr="00BF6DF1" w:rsidTr="00EF53E5">
        <w:tc>
          <w:tcPr>
            <w:tcW w:w="1101" w:type="dxa"/>
            <w:vAlign w:val="bottom"/>
          </w:tcPr>
          <w:p w:rsidR="00BF6DF1" w:rsidRPr="00BF6DF1" w:rsidRDefault="00BF6DF1" w:rsidP="00BF6D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863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AFI City</w:t>
            </w:r>
          </w:p>
        </w:tc>
        <w:tc>
          <w:tcPr>
            <w:tcW w:w="2948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AFI</w:t>
            </w:r>
          </w:p>
        </w:tc>
        <w:tc>
          <w:tcPr>
            <w:tcW w:w="2870" w:type="dxa"/>
            <w:vAlign w:val="bottom"/>
          </w:tcPr>
          <w:p w:rsidR="00BF6DF1" w:rsidRPr="00BF6DF1" w:rsidRDefault="00BF6DF1" w:rsidP="00BF6DF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205</w:t>
            </w:r>
          </w:p>
        </w:tc>
      </w:tr>
      <w:tr w:rsidR="00BF6DF1" w:rsidRPr="00BF6DF1" w:rsidTr="00EF53E5">
        <w:tc>
          <w:tcPr>
            <w:tcW w:w="1101" w:type="dxa"/>
            <w:vAlign w:val="bottom"/>
          </w:tcPr>
          <w:p w:rsidR="00BF6DF1" w:rsidRPr="00BF6DF1" w:rsidRDefault="00BF6DF1" w:rsidP="00BF6D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2863" w:type="dxa"/>
            <w:vAlign w:val="bottom"/>
          </w:tcPr>
          <w:p w:rsidR="00BF6DF1" w:rsidRPr="00BF6DF1" w:rsidRDefault="00EF53E5" w:rsidP="00BF6DF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 Vackově</w:t>
            </w:r>
          </w:p>
        </w:tc>
        <w:tc>
          <w:tcPr>
            <w:tcW w:w="2948" w:type="dxa"/>
            <w:vAlign w:val="bottom"/>
          </w:tcPr>
          <w:p w:rsidR="00BF6DF1" w:rsidRPr="00BF6DF1" w:rsidRDefault="00EF53E5" w:rsidP="00BF6DF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Metrostav Development</w:t>
            </w:r>
          </w:p>
        </w:tc>
        <w:tc>
          <w:tcPr>
            <w:tcW w:w="2870" w:type="dxa"/>
            <w:vAlign w:val="bottom"/>
          </w:tcPr>
          <w:p w:rsidR="00BF6DF1" w:rsidRPr="00BF6DF1" w:rsidRDefault="00BF6DF1" w:rsidP="00BF6DF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19</w:t>
            </w:r>
            <w:r w:rsidR="00EF53E5">
              <w:rPr>
                <w:rFonts w:ascii="Arial" w:hAnsi="Arial" w:cs="Arial"/>
                <w:bCs/>
                <w:color w:val="000000"/>
              </w:rPr>
              <w:t>1</w:t>
            </w:r>
          </w:p>
        </w:tc>
      </w:tr>
      <w:tr w:rsidR="00BF6DF1" w:rsidRPr="00BF6DF1" w:rsidTr="00EF53E5">
        <w:tc>
          <w:tcPr>
            <w:tcW w:w="1101" w:type="dxa"/>
            <w:vAlign w:val="bottom"/>
          </w:tcPr>
          <w:p w:rsidR="00BF6DF1" w:rsidRPr="00BF6DF1" w:rsidRDefault="00BF6DF1" w:rsidP="00BF6D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863" w:type="dxa"/>
            <w:vAlign w:val="bottom"/>
          </w:tcPr>
          <w:p w:rsidR="00BF6DF1" w:rsidRPr="00BF6DF1" w:rsidRDefault="00EF53E5" w:rsidP="00BF6DF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Čakovický park</w:t>
            </w:r>
          </w:p>
        </w:tc>
        <w:tc>
          <w:tcPr>
            <w:tcW w:w="2948" w:type="dxa"/>
            <w:vAlign w:val="bottom"/>
          </w:tcPr>
          <w:p w:rsidR="00BF6DF1" w:rsidRPr="00BF6DF1" w:rsidRDefault="00EF53E5" w:rsidP="00BF6DF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M&amp;K Development</w:t>
            </w:r>
          </w:p>
        </w:tc>
        <w:tc>
          <w:tcPr>
            <w:tcW w:w="2870" w:type="dxa"/>
            <w:vAlign w:val="bottom"/>
          </w:tcPr>
          <w:p w:rsidR="00BF6DF1" w:rsidRPr="00BF6DF1" w:rsidRDefault="00EF53E5" w:rsidP="00BF6DF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190</w:t>
            </w:r>
          </w:p>
        </w:tc>
      </w:tr>
      <w:tr w:rsidR="00BF6DF1" w:rsidRPr="00BF6DF1" w:rsidTr="00EF53E5">
        <w:tc>
          <w:tcPr>
            <w:tcW w:w="1101" w:type="dxa"/>
            <w:vAlign w:val="bottom"/>
          </w:tcPr>
          <w:p w:rsidR="00BF6DF1" w:rsidRPr="00BF6DF1" w:rsidRDefault="00BF6DF1" w:rsidP="00BF6D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863" w:type="dxa"/>
            <w:vAlign w:val="bottom"/>
          </w:tcPr>
          <w:p w:rsidR="00BF6DF1" w:rsidRPr="00BF6DF1" w:rsidRDefault="00EF53E5" w:rsidP="00BF6DF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Rezidence Veselská</w:t>
            </w:r>
          </w:p>
        </w:tc>
        <w:tc>
          <w:tcPr>
            <w:tcW w:w="2948" w:type="dxa"/>
            <w:vAlign w:val="bottom"/>
          </w:tcPr>
          <w:p w:rsidR="00BF6DF1" w:rsidRPr="00BF6DF1" w:rsidRDefault="00EF53E5" w:rsidP="00BF6DF1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Odien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Real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Estate</w:t>
            </w:r>
            <w:proofErr w:type="spellEnd"/>
          </w:p>
        </w:tc>
        <w:tc>
          <w:tcPr>
            <w:tcW w:w="2870" w:type="dxa"/>
            <w:vAlign w:val="bottom"/>
          </w:tcPr>
          <w:p w:rsidR="00BF6DF1" w:rsidRPr="00BF6DF1" w:rsidRDefault="00EF53E5" w:rsidP="00BF6DF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186</w:t>
            </w:r>
          </w:p>
        </w:tc>
      </w:tr>
      <w:tr w:rsidR="00BF6DF1" w:rsidRPr="00BF6DF1" w:rsidTr="00EF53E5">
        <w:tc>
          <w:tcPr>
            <w:tcW w:w="1101" w:type="dxa"/>
            <w:vAlign w:val="bottom"/>
          </w:tcPr>
          <w:p w:rsidR="00BF6DF1" w:rsidRPr="00BF6DF1" w:rsidRDefault="00BF6DF1" w:rsidP="00BF6D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863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Britská čtvrť</w:t>
            </w:r>
          </w:p>
        </w:tc>
        <w:tc>
          <w:tcPr>
            <w:tcW w:w="2948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F6DF1">
              <w:rPr>
                <w:rFonts w:ascii="Arial" w:hAnsi="Arial" w:cs="Arial"/>
                <w:bCs/>
                <w:color w:val="000000"/>
              </w:rPr>
              <w:t>Finep</w:t>
            </w:r>
            <w:proofErr w:type="spellEnd"/>
          </w:p>
        </w:tc>
        <w:tc>
          <w:tcPr>
            <w:tcW w:w="2870" w:type="dxa"/>
            <w:vAlign w:val="bottom"/>
          </w:tcPr>
          <w:p w:rsidR="00BF6DF1" w:rsidRPr="00BF6DF1" w:rsidRDefault="00BF6DF1" w:rsidP="00BF6DF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171</w:t>
            </w:r>
          </w:p>
        </w:tc>
      </w:tr>
      <w:tr w:rsidR="00BF6DF1" w:rsidRPr="00BF6DF1" w:rsidTr="00EF53E5">
        <w:tc>
          <w:tcPr>
            <w:tcW w:w="1101" w:type="dxa"/>
            <w:vAlign w:val="bottom"/>
          </w:tcPr>
          <w:p w:rsidR="00BF6DF1" w:rsidRPr="00BF6DF1" w:rsidRDefault="00BF6DF1" w:rsidP="00BF6DF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863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F6DF1">
              <w:rPr>
                <w:rFonts w:ascii="Arial" w:hAnsi="Arial" w:cs="Arial"/>
                <w:bCs/>
                <w:color w:val="000000"/>
              </w:rPr>
              <w:t>Vivus</w:t>
            </w:r>
            <w:proofErr w:type="spellEnd"/>
            <w:r w:rsidRPr="00BF6DF1">
              <w:rPr>
                <w:rFonts w:ascii="Arial" w:hAnsi="Arial" w:cs="Arial"/>
                <w:bCs/>
                <w:color w:val="000000"/>
              </w:rPr>
              <w:t xml:space="preserve"> Uhříněves</w:t>
            </w:r>
          </w:p>
        </w:tc>
        <w:tc>
          <w:tcPr>
            <w:tcW w:w="2948" w:type="dxa"/>
            <w:vAlign w:val="bottom"/>
          </w:tcPr>
          <w:p w:rsidR="00BF6DF1" w:rsidRPr="00BF6DF1" w:rsidRDefault="00BF6DF1" w:rsidP="00BF6DF1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F6DF1">
              <w:rPr>
                <w:rFonts w:ascii="Arial" w:hAnsi="Arial" w:cs="Arial"/>
                <w:bCs/>
                <w:color w:val="000000"/>
              </w:rPr>
              <w:t>Vivus</w:t>
            </w:r>
            <w:proofErr w:type="spellEnd"/>
          </w:p>
        </w:tc>
        <w:tc>
          <w:tcPr>
            <w:tcW w:w="2870" w:type="dxa"/>
            <w:vAlign w:val="bottom"/>
          </w:tcPr>
          <w:p w:rsidR="00BF6DF1" w:rsidRPr="00BF6DF1" w:rsidRDefault="00BF6DF1" w:rsidP="00BF6DF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F6DF1">
              <w:rPr>
                <w:rFonts w:ascii="Arial" w:hAnsi="Arial" w:cs="Arial"/>
                <w:bCs/>
                <w:color w:val="000000"/>
              </w:rPr>
              <w:t>170</w:t>
            </w:r>
          </w:p>
        </w:tc>
      </w:tr>
      <w:tr w:rsidR="0052137F" w:rsidTr="00EF53E5">
        <w:tc>
          <w:tcPr>
            <w:tcW w:w="6912" w:type="dxa"/>
            <w:gridSpan w:val="3"/>
          </w:tcPr>
          <w:p w:rsidR="0052137F" w:rsidRPr="009653E0" w:rsidRDefault="0052137F" w:rsidP="0052137F">
            <w:pPr>
              <w:spacing w:after="0"/>
              <w:contextualSpacing/>
              <w:rPr>
                <w:rFonts w:ascii="Arial" w:hAnsi="Arial" w:cs="Arial"/>
                <w:b/>
                <w:lang w:eastAsia="cs-CZ"/>
              </w:rPr>
            </w:pPr>
            <w:r w:rsidRPr="009653E0">
              <w:rPr>
                <w:rFonts w:ascii="Arial" w:hAnsi="Arial" w:cs="Arial"/>
                <w:b/>
                <w:lang w:eastAsia="cs-CZ"/>
              </w:rPr>
              <w:t>Celkem v Praze prodáno</w:t>
            </w:r>
            <w:r w:rsidR="00EB6EE8" w:rsidRPr="009653E0">
              <w:rPr>
                <w:rFonts w:ascii="Arial" w:hAnsi="Arial" w:cs="Arial"/>
                <w:b/>
                <w:lang w:eastAsia="cs-CZ"/>
              </w:rPr>
              <w:t xml:space="preserve"> všemi developery</w:t>
            </w:r>
          </w:p>
        </w:tc>
        <w:tc>
          <w:tcPr>
            <w:tcW w:w="2870" w:type="dxa"/>
          </w:tcPr>
          <w:p w:rsidR="0052137F" w:rsidRPr="009653E0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  <w:r w:rsidRPr="009653E0">
              <w:rPr>
                <w:rFonts w:ascii="Arial" w:hAnsi="Arial" w:cs="Arial"/>
                <w:b/>
                <w:lang w:eastAsia="cs-CZ"/>
              </w:rPr>
              <w:t>6650</w:t>
            </w:r>
          </w:p>
        </w:tc>
      </w:tr>
    </w:tbl>
    <w:p w:rsidR="009653E0" w:rsidRPr="0032321E" w:rsidRDefault="009653E0" w:rsidP="005E05FE">
      <w:pPr>
        <w:spacing w:after="0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  <w:r w:rsidRPr="0032321E">
        <w:rPr>
          <w:rFonts w:ascii="Arial" w:hAnsi="Arial" w:cs="Arial"/>
          <w:i/>
          <w:sz w:val="18"/>
          <w:szCs w:val="18"/>
          <w:lang w:eastAsia="cs-CZ"/>
        </w:rPr>
        <w:t xml:space="preserve">Zdroj: společné analýzy </w:t>
      </w:r>
      <w:proofErr w:type="spellStart"/>
      <w:r w:rsidRPr="0032321E">
        <w:rPr>
          <w:rFonts w:ascii="Arial" w:hAnsi="Arial" w:cs="Arial"/>
          <w:i/>
          <w:sz w:val="18"/>
          <w:szCs w:val="18"/>
          <w:lang w:eastAsia="cs-CZ"/>
        </w:rPr>
        <w:t>Central</w:t>
      </w:r>
      <w:proofErr w:type="spellEnd"/>
      <w:r w:rsidRPr="0032321E">
        <w:rPr>
          <w:rFonts w:ascii="Arial" w:hAnsi="Arial" w:cs="Arial"/>
          <w:i/>
          <w:sz w:val="18"/>
          <w:szCs w:val="18"/>
          <w:lang w:eastAsia="cs-CZ"/>
        </w:rPr>
        <w:t xml:space="preserve"> Group, </w:t>
      </w:r>
      <w:proofErr w:type="spellStart"/>
      <w:r w:rsidRPr="0032321E">
        <w:rPr>
          <w:rFonts w:ascii="Arial" w:hAnsi="Arial" w:cs="Arial"/>
          <w:i/>
          <w:sz w:val="18"/>
          <w:szCs w:val="18"/>
          <w:lang w:eastAsia="cs-CZ"/>
        </w:rPr>
        <w:t>Trigema</w:t>
      </w:r>
      <w:proofErr w:type="spellEnd"/>
      <w:r w:rsidRPr="0032321E">
        <w:rPr>
          <w:rFonts w:ascii="Arial" w:hAnsi="Arial" w:cs="Arial"/>
          <w:i/>
          <w:sz w:val="18"/>
          <w:szCs w:val="18"/>
          <w:lang w:eastAsia="cs-CZ"/>
        </w:rPr>
        <w:t>, Skanska Reality.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 xml:space="preserve"> Počty bytů jsou vykázány na základě úbytku bytů z internetových ceníků developerů mezi 1. 1. 2016 a 31. 12. 2016. </w:t>
      </w:r>
      <w:r w:rsidR="000F1B82">
        <w:rPr>
          <w:rFonts w:ascii="Arial" w:hAnsi="Arial" w:cs="Arial"/>
          <w:i/>
          <w:sz w:val="18"/>
          <w:szCs w:val="18"/>
          <w:lang w:eastAsia="cs-CZ"/>
        </w:rPr>
        <w:t>T</w:t>
      </w:r>
      <w:r w:rsidRPr="0032321E">
        <w:rPr>
          <w:rFonts w:ascii="Arial" w:hAnsi="Arial" w:cs="Arial"/>
          <w:i/>
          <w:sz w:val="18"/>
          <w:szCs w:val="18"/>
          <w:lang w:eastAsia="cs-CZ"/>
        </w:rPr>
        <w:t xml:space="preserve">abulka zahrnuje jen </w:t>
      </w:r>
      <w:r w:rsidR="000F1B82">
        <w:rPr>
          <w:rFonts w:ascii="Arial" w:hAnsi="Arial" w:cs="Arial"/>
          <w:i/>
          <w:sz w:val="18"/>
          <w:szCs w:val="18"/>
          <w:lang w:eastAsia="cs-CZ"/>
        </w:rPr>
        <w:t>projekty</w:t>
      </w:r>
      <w:r w:rsidRPr="0032321E">
        <w:rPr>
          <w:rFonts w:ascii="Arial" w:hAnsi="Arial" w:cs="Arial"/>
          <w:i/>
          <w:sz w:val="18"/>
          <w:szCs w:val="18"/>
          <w:lang w:eastAsia="cs-CZ"/>
        </w:rPr>
        <w:t xml:space="preserve"> na území hlavního města. Nejsou zde započítány také blokové prodeje celých projektů jiným subjektům například družstvům, v případě, že jsou byty nadále v prodeji u těchto sekundárních prodejců. </w:t>
      </w:r>
    </w:p>
    <w:p w:rsidR="009653E0" w:rsidRDefault="009653E0" w:rsidP="005E05F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12E70" w:rsidRDefault="00B12E70" w:rsidP="00CB56B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B56BD" w:rsidRDefault="00C50A86" w:rsidP="00CB56BD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je dlouhodobě n</w:t>
      </w:r>
      <w:r w:rsidR="0052137F">
        <w:rPr>
          <w:rFonts w:ascii="Arial" w:hAnsi="Arial" w:cs="Arial"/>
          <w:lang w:eastAsia="cs-CZ"/>
        </w:rPr>
        <w:t xml:space="preserve">ejvětším stavitelem nových bytů </w:t>
      </w:r>
      <w:r w:rsidR="0052137F" w:rsidRPr="006D26FA">
        <w:rPr>
          <w:rFonts w:ascii="Arial" w:hAnsi="Arial" w:cs="Arial"/>
          <w:lang w:eastAsia="cs-CZ"/>
        </w:rPr>
        <w:t>v Praze i celém Česku</w:t>
      </w:r>
      <w:r>
        <w:rPr>
          <w:rFonts w:ascii="Arial" w:hAnsi="Arial" w:cs="Arial"/>
          <w:lang w:eastAsia="cs-CZ"/>
        </w:rPr>
        <w:t>. V</w:t>
      </w:r>
      <w:r w:rsidR="0052137F">
        <w:rPr>
          <w:rFonts w:ascii="Arial" w:hAnsi="Arial" w:cs="Arial"/>
          <w:lang w:eastAsia="cs-CZ"/>
        </w:rPr>
        <w:t>loni</w:t>
      </w:r>
      <w:r w:rsidR="0052137F" w:rsidRPr="006D26FA">
        <w:rPr>
          <w:rFonts w:ascii="Arial" w:hAnsi="Arial" w:cs="Arial"/>
          <w:lang w:eastAsia="cs-CZ"/>
        </w:rPr>
        <w:t xml:space="preserve"> </w:t>
      </w:r>
      <w:r w:rsidR="0052137F">
        <w:rPr>
          <w:rFonts w:ascii="Arial" w:hAnsi="Arial" w:cs="Arial"/>
          <w:lang w:eastAsia="cs-CZ"/>
        </w:rPr>
        <w:t xml:space="preserve">prodal 1243 bytů </w:t>
      </w:r>
      <w:r>
        <w:rPr>
          <w:rFonts w:ascii="Arial" w:hAnsi="Arial" w:cs="Arial"/>
          <w:lang w:eastAsia="cs-CZ"/>
        </w:rPr>
        <w:t>za 5,2 miliardy ko</w:t>
      </w:r>
      <w:r w:rsidR="00AE40AB">
        <w:rPr>
          <w:rFonts w:ascii="Arial" w:hAnsi="Arial" w:cs="Arial"/>
          <w:lang w:eastAsia="cs-CZ"/>
        </w:rPr>
        <w:t>r</w:t>
      </w:r>
      <w:r>
        <w:rPr>
          <w:rFonts w:ascii="Arial" w:hAnsi="Arial" w:cs="Arial"/>
          <w:lang w:eastAsia="cs-CZ"/>
        </w:rPr>
        <w:t xml:space="preserve">un </w:t>
      </w:r>
      <w:r w:rsidR="0052137F">
        <w:rPr>
          <w:rFonts w:ascii="Arial" w:hAnsi="Arial" w:cs="Arial"/>
          <w:lang w:eastAsia="cs-CZ"/>
        </w:rPr>
        <w:t xml:space="preserve">a </w:t>
      </w:r>
      <w:r w:rsidR="0052137F" w:rsidRPr="006D26FA">
        <w:rPr>
          <w:rFonts w:ascii="Arial" w:hAnsi="Arial" w:cs="Arial"/>
          <w:lang w:eastAsia="cs-CZ"/>
        </w:rPr>
        <w:t xml:space="preserve">na pražském trhu </w:t>
      </w:r>
      <w:r w:rsidR="0052137F">
        <w:rPr>
          <w:rFonts w:ascii="Arial" w:hAnsi="Arial" w:cs="Arial"/>
          <w:lang w:eastAsia="cs-CZ"/>
        </w:rPr>
        <w:t xml:space="preserve">se </w:t>
      </w:r>
      <w:r w:rsidR="0052137F" w:rsidRPr="006D26FA">
        <w:rPr>
          <w:rFonts w:ascii="Arial" w:hAnsi="Arial" w:cs="Arial"/>
          <w:lang w:eastAsia="cs-CZ"/>
        </w:rPr>
        <w:t xml:space="preserve">podílí </w:t>
      </w:r>
      <w:r w:rsidR="0052137F">
        <w:rPr>
          <w:rFonts w:ascii="Arial" w:hAnsi="Arial" w:cs="Arial"/>
          <w:lang w:eastAsia="cs-CZ"/>
        </w:rPr>
        <w:t xml:space="preserve">18,7 </w:t>
      </w:r>
      <w:r w:rsidR="0052137F" w:rsidRPr="006D26FA">
        <w:rPr>
          <w:rFonts w:ascii="Arial" w:hAnsi="Arial" w:cs="Arial"/>
          <w:lang w:eastAsia="cs-CZ"/>
        </w:rPr>
        <w:t>procent</w:t>
      </w:r>
      <w:r w:rsidR="0052137F">
        <w:rPr>
          <w:rFonts w:ascii="Arial" w:hAnsi="Arial" w:cs="Arial"/>
          <w:lang w:eastAsia="cs-CZ"/>
        </w:rPr>
        <w:t>a</w:t>
      </w:r>
      <w:r w:rsidR="0052137F" w:rsidRPr="006D26FA">
        <w:rPr>
          <w:rFonts w:ascii="Arial" w:hAnsi="Arial" w:cs="Arial"/>
          <w:lang w:eastAsia="cs-CZ"/>
        </w:rPr>
        <w:t>.</w:t>
      </w:r>
      <w:r w:rsidR="00424257">
        <w:rPr>
          <w:rFonts w:ascii="Arial" w:hAnsi="Arial" w:cs="Arial"/>
          <w:lang w:eastAsia="cs-CZ"/>
        </w:rPr>
        <w:t xml:space="preserve"> Žádný jiný developer loni nepřekročil v Praze ani desetiprocentní podíl na trhu.</w:t>
      </w:r>
      <w:r w:rsidR="0052137F" w:rsidRPr="006D26FA">
        <w:rPr>
          <w:rFonts w:ascii="Arial" w:hAnsi="Arial" w:cs="Arial"/>
          <w:lang w:eastAsia="cs-CZ"/>
        </w:rPr>
        <w:t xml:space="preserve"> Dvojkou na pražském trhu je </w:t>
      </w:r>
      <w:proofErr w:type="spellStart"/>
      <w:r w:rsidR="0052137F">
        <w:rPr>
          <w:rFonts w:ascii="Arial" w:hAnsi="Arial" w:cs="Arial"/>
          <w:lang w:eastAsia="cs-CZ"/>
        </w:rPr>
        <w:t>Finep</w:t>
      </w:r>
      <w:proofErr w:type="spellEnd"/>
      <w:r w:rsidR="00424257">
        <w:rPr>
          <w:rFonts w:ascii="Arial" w:hAnsi="Arial" w:cs="Arial"/>
          <w:lang w:eastAsia="cs-CZ"/>
        </w:rPr>
        <w:t xml:space="preserve"> se zhruba polovičním prodejem</w:t>
      </w:r>
      <w:r w:rsidR="000F1B82">
        <w:rPr>
          <w:rFonts w:ascii="Arial" w:hAnsi="Arial" w:cs="Arial"/>
          <w:lang w:eastAsia="cs-CZ"/>
        </w:rPr>
        <w:t>, n</w:t>
      </w:r>
      <w:r w:rsidR="00CB56BD" w:rsidRPr="006D26FA">
        <w:rPr>
          <w:rFonts w:ascii="Arial" w:hAnsi="Arial" w:cs="Arial"/>
          <w:lang w:eastAsia="cs-CZ"/>
        </w:rPr>
        <w:t xml:space="preserve">ásleduje </w:t>
      </w:r>
      <w:r w:rsidR="00CB56BD">
        <w:rPr>
          <w:rFonts w:ascii="Arial" w:hAnsi="Arial" w:cs="Arial"/>
          <w:lang w:eastAsia="cs-CZ"/>
        </w:rPr>
        <w:t xml:space="preserve">Skanska Reality, </w:t>
      </w:r>
      <w:r w:rsidR="00F550F7">
        <w:rPr>
          <w:rFonts w:ascii="Arial" w:hAnsi="Arial" w:cs="Arial"/>
          <w:lang w:eastAsia="cs-CZ"/>
        </w:rPr>
        <w:t xml:space="preserve">AFI </w:t>
      </w:r>
      <w:r w:rsidR="00CB56BD">
        <w:rPr>
          <w:rFonts w:ascii="Arial" w:hAnsi="Arial" w:cs="Arial"/>
          <w:lang w:eastAsia="cs-CZ"/>
        </w:rPr>
        <w:t xml:space="preserve">a </w:t>
      </w:r>
      <w:proofErr w:type="spellStart"/>
      <w:r w:rsidR="00F550F7">
        <w:rPr>
          <w:rFonts w:ascii="Arial" w:hAnsi="Arial" w:cs="Arial"/>
          <w:lang w:eastAsia="cs-CZ"/>
        </w:rPr>
        <w:t>Daramis</w:t>
      </w:r>
      <w:proofErr w:type="spellEnd"/>
      <w:r w:rsidR="00CB56BD">
        <w:rPr>
          <w:rFonts w:ascii="Arial" w:hAnsi="Arial" w:cs="Arial"/>
          <w:lang w:eastAsia="cs-CZ"/>
        </w:rPr>
        <w:t>.</w:t>
      </w:r>
      <w:r w:rsidR="00CB56BD" w:rsidRPr="006D26FA">
        <w:rPr>
          <w:rFonts w:ascii="Arial" w:hAnsi="Arial" w:cs="Arial"/>
          <w:lang w:eastAsia="cs-CZ"/>
        </w:rPr>
        <w:t xml:space="preserve"> </w:t>
      </w:r>
      <w:r w:rsidR="00CB56BD">
        <w:rPr>
          <w:rFonts w:ascii="Arial" w:hAnsi="Arial" w:cs="Arial"/>
          <w:lang w:eastAsia="cs-CZ"/>
        </w:rPr>
        <w:t>Celkem bylo v Praze z</w:t>
      </w:r>
      <w:r w:rsidR="00B12E70">
        <w:rPr>
          <w:rFonts w:ascii="Arial" w:hAnsi="Arial" w:cs="Arial"/>
          <w:lang w:eastAsia="cs-CZ"/>
        </w:rPr>
        <w:t>a</w:t>
      </w:r>
      <w:r w:rsidR="00CB56BD">
        <w:rPr>
          <w:rFonts w:ascii="Arial" w:hAnsi="Arial" w:cs="Arial"/>
          <w:lang w:eastAsia="cs-CZ"/>
        </w:rPr>
        <w:t xml:space="preserve"> </w:t>
      </w:r>
      <w:r w:rsidR="007B2F43">
        <w:rPr>
          <w:rFonts w:ascii="Arial" w:hAnsi="Arial" w:cs="Arial"/>
          <w:lang w:eastAsia="cs-CZ"/>
        </w:rPr>
        <w:t xml:space="preserve">rok 2016 </w:t>
      </w:r>
      <w:r w:rsidR="00CB56BD">
        <w:rPr>
          <w:rFonts w:ascii="Arial" w:hAnsi="Arial" w:cs="Arial"/>
          <w:lang w:eastAsia="cs-CZ"/>
        </w:rPr>
        <w:t xml:space="preserve">prodáno </w:t>
      </w:r>
      <w:r w:rsidR="007B2F43">
        <w:rPr>
          <w:rFonts w:ascii="Arial" w:hAnsi="Arial" w:cs="Arial"/>
          <w:lang w:eastAsia="cs-CZ"/>
        </w:rPr>
        <w:t>6</w:t>
      </w:r>
      <w:r w:rsidR="00E56FDE">
        <w:rPr>
          <w:rFonts w:ascii="Arial" w:hAnsi="Arial" w:cs="Arial"/>
          <w:lang w:eastAsia="cs-CZ"/>
        </w:rPr>
        <w:t>6</w:t>
      </w:r>
      <w:r w:rsidR="007B2F43">
        <w:rPr>
          <w:rFonts w:ascii="Arial" w:hAnsi="Arial" w:cs="Arial"/>
          <w:lang w:eastAsia="cs-CZ"/>
        </w:rPr>
        <w:t>5</w:t>
      </w:r>
      <w:r w:rsidR="00CB56BD">
        <w:rPr>
          <w:rFonts w:ascii="Arial" w:hAnsi="Arial" w:cs="Arial"/>
          <w:lang w:eastAsia="cs-CZ"/>
        </w:rPr>
        <w:t xml:space="preserve">0 </w:t>
      </w:r>
      <w:r w:rsidR="00B12E70">
        <w:rPr>
          <w:rFonts w:ascii="Arial" w:hAnsi="Arial" w:cs="Arial"/>
          <w:lang w:eastAsia="cs-CZ"/>
        </w:rPr>
        <w:t xml:space="preserve">nových </w:t>
      </w:r>
      <w:r w:rsidR="00CB56BD">
        <w:rPr>
          <w:rFonts w:ascii="Arial" w:hAnsi="Arial" w:cs="Arial"/>
          <w:lang w:eastAsia="cs-CZ"/>
        </w:rPr>
        <w:t xml:space="preserve">bytů s vydaným územním rozhodnutím. </w:t>
      </w:r>
    </w:p>
    <w:p w:rsidR="00CB56BD" w:rsidRDefault="00CB56BD" w:rsidP="00CB56B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C67C8C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Nabídka developerů se ale za stejnou dobu ztenčila. Z 5500 bytů na začátku roku 2016 jich na konci roku byly jen necelé 4000. Nedostatečná nabídka vedla k razantnímu zvýšení cen, v průběhu loňského roku o 19,5 procenta. </w:t>
      </w:r>
      <w:r w:rsidR="00774E57">
        <w:rPr>
          <w:rFonts w:ascii="Arial" w:hAnsi="Arial" w:cs="Arial"/>
          <w:lang w:eastAsia="cs-CZ"/>
        </w:rPr>
        <w:t xml:space="preserve">Není přitom vinou developerů, že je nabídka bytů tak omezená. Podle analýzy připravovaných projektů, kterou provedla společnost </w:t>
      </w:r>
      <w:proofErr w:type="spellStart"/>
      <w:r w:rsidR="00774E57">
        <w:rPr>
          <w:rFonts w:ascii="Arial" w:hAnsi="Arial" w:cs="Arial"/>
          <w:lang w:eastAsia="cs-CZ"/>
        </w:rPr>
        <w:t>Central</w:t>
      </w:r>
      <w:proofErr w:type="spellEnd"/>
      <w:r w:rsidR="00774E57">
        <w:rPr>
          <w:rFonts w:ascii="Arial" w:hAnsi="Arial" w:cs="Arial"/>
          <w:lang w:eastAsia="cs-CZ"/>
        </w:rPr>
        <w:t xml:space="preserve"> Group, </w:t>
      </w:r>
      <w:r w:rsidR="0052137F">
        <w:rPr>
          <w:rFonts w:ascii="Arial" w:hAnsi="Arial" w:cs="Arial"/>
          <w:lang w:eastAsia="cs-CZ"/>
        </w:rPr>
        <w:t xml:space="preserve">mají pražští developeři v přípravě celkem asi 70 tisíc nových bytů. </w:t>
      </w:r>
      <w:r w:rsidR="0052137F" w:rsidRPr="0052137F">
        <w:rPr>
          <w:rFonts w:ascii="Arial" w:hAnsi="Arial" w:cs="Arial"/>
          <w:lang w:eastAsia="cs-CZ"/>
        </w:rPr>
        <w:t>Jen zhruba 23.500 se jich ale může začít stavět zhruba do pěti let.</w:t>
      </w:r>
      <w:r w:rsidR="0052137F">
        <w:rPr>
          <w:rFonts w:ascii="Arial" w:hAnsi="Arial" w:cs="Arial"/>
          <w:lang w:eastAsia="cs-CZ"/>
        </w:rPr>
        <w:t xml:space="preserve"> Problémem je velmi dlouhý schvalovací proces, který nás podle údajů Světové banky řadí na 130. místo ze 190 zemí.</w:t>
      </w:r>
    </w:p>
    <w:p w:rsidR="00E56FDE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E56FDE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B12E70" w:rsidRDefault="00B12E70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B12E70" w:rsidRDefault="00B12E70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F550F7" w:rsidRDefault="00F550F7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F550F7" w:rsidRDefault="00F550F7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424257" w:rsidRDefault="00424257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424257" w:rsidRDefault="00424257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424257" w:rsidRDefault="00424257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424257" w:rsidRDefault="00424257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424257" w:rsidRDefault="00424257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424257" w:rsidRDefault="00424257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FE580C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BE60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BF6DF1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5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4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2F43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1B82"/>
    <w:rsid w:val="000F76D9"/>
    <w:rsid w:val="000F7D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37D2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0221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1761C"/>
    <w:rsid w:val="00320B75"/>
    <w:rsid w:val="0032321E"/>
    <w:rsid w:val="00333809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6D06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4257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1830"/>
    <w:rsid w:val="004F4589"/>
    <w:rsid w:val="0050068F"/>
    <w:rsid w:val="005063E2"/>
    <w:rsid w:val="00506D83"/>
    <w:rsid w:val="00506E60"/>
    <w:rsid w:val="005071FB"/>
    <w:rsid w:val="00516528"/>
    <w:rsid w:val="005207A4"/>
    <w:rsid w:val="0052137F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77C0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D029C"/>
    <w:rsid w:val="005E0538"/>
    <w:rsid w:val="005E05FE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898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34007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6334"/>
    <w:rsid w:val="00766721"/>
    <w:rsid w:val="00774E57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2F43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5CEA"/>
    <w:rsid w:val="008B7191"/>
    <w:rsid w:val="008C39D0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53E0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4B54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0AB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2E70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5572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BF6DF1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A86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353C"/>
    <w:rsid w:val="00CA489A"/>
    <w:rsid w:val="00CA4B80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3B22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56FD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6EE8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53E5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550F7"/>
    <w:rsid w:val="00F619C8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80C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4A10E029"/>
  <w15:docId w15:val="{15966DBF-46F9-457E-AF8C-A590B9E4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370C-A49D-418D-85C9-8B282964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5</cp:revision>
  <cp:lastPrinted>2017-04-05T08:13:00Z</cp:lastPrinted>
  <dcterms:created xsi:type="dcterms:W3CDTF">2017-04-04T10:34:00Z</dcterms:created>
  <dcterms:modified xsi:type="dcterms:W3CDTF">2017-04-05T08:21:00Z</dcterms:modified>
</cp:coreProperties>
</file>