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Default="00C50A86" w:rsidP="008E5D7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V</w:t>
      </w:r>
      <w:r w:rsidR="005E0538">
        <w:rPr>
          <w:rFonts w:ascii="Arial Black" w:hAnsi="Arial Black"/>
          <w:color w:val="000000" w:themeColor="text1"/>
          <w:sz w:val="28"/>
          <w:szCs w:val="28"/>
        </w:rPr>
        <w:t xml:space="preserve">elká trojka 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rezidenčních developerů </w:t>
      </w:r>
      <w:r w:rsidR="005E0538">
        <w:rPr>
          <w:rFonts w:ascii="Arial Black" w:hAnsi="Arial Black"/>
          <w:color w:val="000000" w:themeColor="text1"/>
          <w:sz w:val="28"/>
          <w:szCs w:val="28"/>
        </w:rPr>
        <w:t xml:space="preserve">má více než třetinu 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pražského </w:t>
      </w:r>
      <w:r w:rsidR="005E0538">
        <w:rPr>
          <w:rFonts w:ascii="Arial Black" w:hAnsi="Arial Black"/>
          <w:color w:val="000000" w:themeColor="text1"/>
          <w:sz w:val="28"/>
          <w:szCs w:val="28"/>
        </w:rPr>
        <w:t>trhu</w:t>
      </w:r>
    </w:p>
    <w:p w:rsidR="006D26FA" w:rsidRPr="006D26FA" w:rsidRDefault="006D26FA" w:rsidP="008E5D7B">
      <w:pPr>
        <w:spacing w:after="0"/>
        <w:rPr>
          <w:rFonts w:ascii="Arial Black" w:hAnsi="Arial Black"/>
          <w:color w:val="000000" w:themeColor="text1"/>
          <w:sz w:val="20"/>
          <w:szCs w:val="20"/>
        </w:rPr>
      </w:pPr>
    </w:p>
    <w:p w:rsidR="00FE580C" w:rsidRPr="005477C0" w:rsidRDefault="002C4DC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237A96">
        <w:rPr>
          <w:rFonts w:ascii="Arial" w:hAnsi="Arial" w:cs="Arial"/>
          <w:i/>
          <w:lang w:eastAsia="cs-CZ"/>
        </w:rPr>
        <w:t xml:space="preserve">Praha, </w:t>
      </w:r>
      <w:r w:rsidR="00B95572">
        <w:rPr>
          <w:rFonts w:ascii="Arial" w:hAnsi="Arial" w:cs="Arial"/>
          <w:i/>
          <w:lang w:eastAsia="cs-CZ"/>
        </w:rPr>
        <w:t>9</w:t>
      </w:r>
      <w:r w:rsidR="00541CA7" w:rsidRPr="00237A96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</w:t>
      </w:r>
      <w:r w:rsidR="00AE40AB">
        <w:rPr>
          <w:rFonts w:ascii="Arial" w:hAnsi="Arial" w:cs="Arial"/>
          <w:i/>
          <w:lang w:eastAsia="cs-CZ"/>
        </w:rPr>
        <w:t>3</w:t>
      </w:r>
      <w:r w:rsidR="000854B7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201</w:t>
      </w:r>
      <w:r w:rsidR="007B2F43">
        <w:rPr>
          <w:rFonts w:ascii="Arial" w:hAnsi="Arial" w:cs="Arial"/>
          <w:i/>
          <w:lang w:eastAsia="cs-CZ"/>
        </w:rPr>
        <w:t>7</w:t>
      </w:r>
      <w:r w:rsidR="000266CE" w:rsidRPr="00237A96">
        <w:rPr>
          <w:rFonts w:ascii="Arial" w:hAnsi="Arial" w:cs="Arial"/>
          <w:i/>
          <w:lang w:eastAsia="cs-CZ"/>
        </w:rPr>
        <w:t xml:space="preserve"> –</w:t>
      </w:r>
      <w:r w:rsidR="00DF261B" w:rsidRPr="00FE0C65">
        <w:rPr>
          <w:rFonts w:ascii="Arial" w:hAnsi="Arial" w:cs="Arial"/>
          <w:b/>
          <w:i/>
          <w:lang w:eastAsia="cs-CZ"/>
        </w:rPr>
        <w:t xml:space="preserve"> </w:t>
      </w:r>
      <w:r w:rsidR="00FE580C">
        <w:rPr>
          <w:rFonts w:ascii="Arial" w:hAnsi="Arial" w:cs="Arial"/>
          <w:b/>
          <w:lang w:eastAsia="cs-CZ"/>
        </w:rPr>
        <w:t xml:space="preserve">Třetina pražského developerského trhu je v rukou trojice největších firem. </w:t>
      </w:r>
      <w:r w:rsidR="004F1830">
        <w:rPr>
          <w:rFonts w:ascii="Arial" w:hAnsi="Arial" w:cs="Arial"/>
          <w:b/>
          <w:lang w:eastAsia="cs-CZ"/>
        </w:rPr>
        <w:t xml:space="preserve">Vyplývá to ze společných analýz firem </w:t>
      </w:r>
      <w:proofErr w:type="spellStart"/>
      <w:r w:rsidR="004F1830">
        <w:rPr>
          <w:rFonts w:ascii="Arial" w:hAnsi="Arial" w:cs="Arial"/>
          <w:b/>
          <w:lang w:eastAsia="cs-CZ"/>
        </w:rPr>
        <w:t>Central</w:t>
      </w:r>
      <w:proofErr w:type="spellEnd"/>
      <w:r w:rsidR="004F1830">
        <w:rPr>
          <w:rFonts w:ascii="Arial" w:hAnsi="Arial" w:cs="Arial"/>
          <w:b/>
          <w:lang w:eastAsia="cs-CZ"/>
        </w:rPr>
        <w:t xml:space="preserve"> Group, </w:t>
      </w:r>
      <w:proofErr w:type="spellStart"/>
      <w:r w:rsidR="004F1830">
        <w:rPr>
          <w:rFonts w:ascii="Arial" w:hAnsi="Arial" w:cs="Arial"/>
          <w:b/>
          <w:lang w:eastAsia="cs-CZ"/>
        </w:rPr>
        <w:t>Trigema</w:t>
      </w:r>
      <w:proofErr w:type="spellEnd"/>
      <w:r w:rsidR="004F1830">
        <w:rPr>
          <w:rFonts w:ascii="Arial" w:hAnsi="Arial" w:cs="Arial"/>
          <w:b/>
          <w:lang w:eastAsia="cs-CZ"/>
        </w:rPr>
        <w:t xml:space="preserve"> a Skanska Reality. </w:t>
      </w:r>
      <w:r w:rsidR="00FE580C">
        <w:rPr>
          <w:rFonts w:ascii="Arial" w:hAnsi="Arial" w:cs="Arial"/>
          <w:b/>
          <w:lang w:eastAsia="cs-CZ"/>
        </w:rPr>
        <w:t xml:space="preserve">Trh se </w:t>
      </w:r>
      <w:r w:rsidR="004F1830">
        <w:rPr>
          <w:rFonts w:ascii="Arial" w:hAnsi="Arial" w:cs="Arial"/>
          <w:b/>
          <w:lang w:eastAsia="cs-CZ"/>
        </w:rPr>
        <w:t xml:space="preserve">pomalu koncentruje do rukou </w:t>
      </w:r>
      <w:r w:rsidR="00137D21">
        <w:rPr>
          <w:rFonts w:ascii="Arial" w:hAnsi="Arial" w:cs="Arial"/>
          <w:b/>
          <w:lang w:eastAsia="cs-CZ"/>
        </w:rPr>
        <w:t>předních hráčů</w:t>
      </w:r>
      <w:r w:rsidR="00FE580C">
        <w:rPr>
          <w:rFonts w:ascii="Arial" w:hAnsi="Arial" w:cs="Arial"/>
          <w:b/>
          <w:lang w:eastAsia="cs-CZ"/>
        </w:rPr>
        <w:t>.</w:t>
      </w:r>
      <w:r w:rsidR="004F1830">
        <w:rPr>
          <w:rFonts w:ascii="Arial" w:hAnsi="Arial" w:cs="Arial"/>
          <w:b/>
          <w:lang w:eastAsia="cs-CZ"/>
        </w:rPr>
        <w:t xml:space="preserve"> </w:t>
      </w:r>
      <w:r w:rsidR="005477C0">
        <w:rPr>
          <w:rFonts w:ascii="Arial" w:hAnsi="Arial" w:cs="Arial"/>
          <w:b/>
          <w:lang w:eastAsia="cs-CZ"/>
        </w:rPr>
        <w:t xml:space="preserve">Deset největších </w:t>
      </w:r>
      <w:r w:rsidR="00137D21">
        <w:rPr>
          <w:rFonts w:ascii="Arial" w:hAnsi="Arial" w:cs="Arial"/>
          <w:b/>
          <w:lang w:eastAsia="cs-CZ"/>
        </w:rPr>
        <w:t>firem</w:t>
      </w:r>
      <w:r w:rsidR="005477C0">
        <w:rPr>
          <w:rFonts w:ascii="Arial" w:hAnsi="Arial" w:cs="Arial"/>
          <w:b/>
          <w:lang w:eastAsia="cs-CZ"/>
        </w:rPr>
        <w:t xml:space="preserve"> v současnosti disponuje více než 60procentním podílem</w:t>
      </w:r>
      <w:r w:rsidR="004F1830">
        <w:rPr>
          <w:rFonts w:ascii="Arial" w:hAnsi="Arial" w:cs="Arial"/>
          <w:b/>
          <w:lang w:eastAsia="cs-CZ"/>
        </w:rPr>
        <w:t xml:space="preserve">. </w:t>
      </w:r>
      <w:r w:rsidR="00FE580C" w:rsidRPr="005477C0">
        <w:rPr>
          <w:rFonts w:ascii="Arial" w:hAnsi="Arial" w:cs="Arial"/>
          <w:b/>
          <w:lang w:eastAsia="cs-CZ"/>
        </w:rPr>
        <w:t>Důvodem je fakt, že pouze velké firmy jsou schopny dodávat na trh dostatečnou nabídku bytů v situaci, kdy úřady razantně omezily povolování nové výstavby. Vel</w:t>
      </w:r>
      <w:r w:rsidR="00766334" w:rsidRPr="005477C0">
        <w:rPr>
          <w:rFonts w:ascii="Arial" w:hAnsi="Arial" w:cs="Arial"/>
          <w:b/>
          <w:lang w:eastAsia="cs-CZ"/>
        </w:rPr>
        <w:t xml:space="preserve">cí developeři </w:t>
      </w:r>
      <w:r w:rsidR="00FE580C" w:rsidRPr="005477C0">
        <w:rPr>
          <w:rFonts w:ascii="Arial" w:hAnsi="Arial" w:cs="Arial"/>
          <w:b/>
          <w:lang w:eastAsia="cs-CZ"/>
        </w:rPr>
        <w:t>pracují současně na přípravě řady projektů a pokud se v důsledku sporů prodlouží vydání potřebných povolení u jednoho z nich, firmy jsou obvykle schopn</w:t>
      </w:r>
      <w:r w:rsidR="00E56FDE" w:rsidRPr="005477C0">
        <w:rPr>
          <w:rFonts w:ascii="Arial" w:hAnsi="Arial" w:cs="Arial"/>
          <w:b/>
          <w:lang w:eastAsia="cs-CZ"/>
        </w:rPr>
        <w:t>y</w:t>
      </w:r>
      <w:r w:rsidR="00FE580C" w:rsidRPr="005477C0">
        <w:rPr>
          <w:rFonts w:ascii="Arial" w:hAnsi="Arial" w:cs="Arial"/>
          <w:b/>
          <w:lang w:eastAsia="cs-CZ"/>
        </w:rPr>
        <w:t xml:space="preserve"> nabídnout jiný projekt. Pro menší </w:t>
      </w:r>
      <w:r w:rsidR="00E56FDE" w:rsidRPr="005477C0">
        <w:rPr>
          <w:rFonts w:ascii="Arial" w:hAnsi="Arial" w:cs="Arial"/>
          <w:b/>
          <w:lang w:eastAsia="cs-CZ"/>
        </w:rPr>
        <w:t>hráče</w:t>
      </w:r>
      <w:r w:rsidR="00FE580C" w:rsidRPr="005477C0">
        <w:rPr>
          <w:rFonts w:ascii="Arial" w:hAnsi="Arial" w:cs="Arial"/>
          <w:b/>
          <w:lang w:eastAsia="cs-CZ"/>
        </w:rPr>
        <w:t>, kte</w:t>
      </w:r>
      <w:r w:rsidR="00E56FDE" w:rsidRPr="005477C0">
        <w:rPr>
          <w:rFonts w:ascii="Arial" w:hAnsi="Arial" w:cs="Arial"/>
          <w:b/>
          <w:lang w:eastAsia="cs-CZ"/>
        </w:rPr>
        <w:t>ří</w:t>
      </w:r>
      <w:r w:rsidR="00FE580C" w:rsidRPr="005477C0">
        <w:rPr>
          <w:rFonts w:ascii="Arial" w:hAnsi="Arial" w:cs="Arial"/>
          <w:b/>
          <w:lang w:eastAsia="cs-CZ"/>
        </w:rPr>
        <w:t xml:space="preserve"> rozvíjejí jen jeden nebo dva projekty, </w:t>
      </w:r>
      <w:r w:rsidR="00E56FDE" w:rsidRPr="005477C0">
        <w:rPr>
          <w:rFonts w:ascii="Arial" w:hAnsi="Arial" w:cs="Arial"/>
          <w:b/>
          <w:lang w:eastAsia="cs-CZ"/>
        </w:rPr>
        <w:t>může být</w:t>
      </w:r>
      <w:r w:rsidR="00FE580C" w:rsidRPr="005477C0">
        <w:rPr>
          <w:rFonts w:ascii="Arial" w:hAnsi="Arial" w:cs="Arial"/>
          <w:b/>
          <w:lang w:eastAsia="cs-CZ"/>
        </w:rPr>
        <w:t xml:space="preserve"> ale tato situace fatální. </w:t>
      </w:r>
    </w:p>
    <w:p w:rsidR="00C76C5C" w:rsidRDefault="00C76C5C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5E05FE" w:rsidRDefault="005E05FE" w:rsidP="005E05F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A47361">
        <w:rPr>
          <w:rFonts w:ascii="Arial" w:hAnsi="Arial" w:cs="Arial"/>
          <w:i/>
          <w:lang w:eastAsia="cs-CZ"/>
        </w:rPr>
        <w:t>„</w:t>
      </w:r>
      <w:r w:rsidR="00766334">
        <w:rPr>
          <w:rFonts w:ascii="Arial" w:hAnsi="Arial" w:cs="Arial"/>
          <w:i/>
          <w:lang w:eastAsia="cs-CZ"/>
        </w:rPr>
        <w:t>V letošním a příštím roce ještě velcí hráči budou schopni na trh dodávat projekty schválené v</w:t>
      </w:r>
      <w:r w:rsidR="00E56FDE">
        <w:rPr>
          <w:rFonts w:ascii="Arial" w:hAnsi="Arial" w:cs="Arial"/>
          <w:i/>
          <w:lang w:eastAsia="cs-CZ"/>
        </w:rPr>
        <w:t> minulosti. P</w:t>
      </w:r>
      <w:r w:rsidR="00766334">
        <w:rPr>
          <w:rFonts w:ascii="Arial" w:hAnsi="Arial" w:cs="Arial"/>
          <w:i/>
          <w:lang w:eastAsia="cs-CZ"/>
        </w:rPr>
        <w:t>okud ale politici a úředníci nezmění sv</w:t>
      </w:r>
      <w:r w:rsidR="00E56FDE">
        <w:rPr>
          <w:rFonts w:ascii="Arial" w:hAnsi="Arial" w:cs="Arial"/>
          <w:i/>
          <w:lang w:eastAsia="cs-CZ"/>
        </w:rPr>
        <w:t>ůj postoj k rozvoji Prahy</w:t>
      </w:r>
      <w:r w:rsidR="00766334">
        <w:rPr>
          <w:rFonts w:ascii="Arial" w:hAnsi="Arial" w:cs="Arial"/>
          <w:i/>
          <w:lang w:eastAsia="cs-CZ"/>
        </w:rPr>
        <w:t>, dopadne</w:t>
      </w:r>
      <w:r w:rsidR="00E56FDE">
        <w:rPr>
          <w:rFonts w:ascii="Arial" w:hAnsi="Arial" w:cs="Arial"/>
          <w:i/>
          <w:lang w:eastAsia="cs-CZ"/>
        </w:rPr>
        <w:t xml:space="preserve"> nedostatek povolení nakonec i na velké developery. Na trhu by to znamenalo ještě mnohem</w:t>
      </w:r>
      <w:r w:rsidR="00766334">
        <w:rPr>
          <w:rFonts w:ascii="Arial" w:hAnsi="Arial" w:cs="Arial"/>
          <w:i/>
          <w:lang w:eastAsia="cs-CZ"/>
        </w:rPr>
        <w:t xml:space="preserve"> </w:t>
      </w:r>
      <w:r w:rsidR="00E56FDE">
        <w:rPr>
          <w:rFonts w:ascii="Arial" w:hAnsi="Arial" w:cs="Arial"/>
          <w:i/>
          <w:lang w:eastAsia="cs-CZ"/>
        </w:rPr>
        <w:t xml:space="preserve">výraznější nedostatek bytů </w:t>
      </w:r>
      <w:r w:rsidR="00137D21">
        <w:rPr>
          <w:rFonts w:ascii="Arial" w:hAnsi="Arial" w:cs="Arial"/>
          <w:i/>
          <w:lang w:eastAsia="cs-CZ"/>
        </w:rPr>
        <w:t>a další růst cen</w:t>
      </w:r>
      <w:r w:rsidR="00E56FDE">
        <w:rPr>
          <w:rFonts w:ascii="Arial" w:hAnsi="Arial" w:cs="Arial"/>
          <w:i/>
          <w:lang w:eastAsia="cs-CZ"/>
        </w:rPr>
        <w:t>,</w:t>
      </w:r>
      <w:r w:rsidRPr="00A47361">
        <w:rPr>
          <w:rFonts w:ascii="Arial" w:hAnsi="Arial" w:cs="Arial"/>
          <w:i/>
          <w:lang w:eastAsia="cs-CZ"/>
        </w:rPr>
        <w:t>“</w:t>
      </w:r>
      <w:r>
        <w:rPr>
          <w:rFonts w:ascii="Arial" w:hAnsi="Arial" w:cs="Arial"/>
          <w:lang w:eastAsia="cs-CZ"/>
        </w:rPr>
        <w:t xml:space="preserve"> řekl šéf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Dušan Kunovský.</w:t>
      </w:r>
      <w:r w:rsidR="0031761C">
        <w:rPr>
          <w:rFonts w:ascii="Arial" w:hAnsi="Arial" w:cs="Arial"/>
          <w:lang w:eastAsia="cs-CZ"/>
        </w:rPr>
        <w:t xml:space="preserve"> Již nyní se objevují informace od developerů dokonce i těch, kteří ještě v průběhu loňského roku figurovali v TOP 5, že v letošním roce nebudou mít co prodávat.</w:t>
      </w:r>
    </w:p>
    <w:p w:rsidR="00CA353C" w:rsidRDefault="00CA353C" w:rsidP="005E05F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72"/>
        <w:gridCol w:w="3114"/>
        <w:gridCol w:w="3295"/>
      </w:tblGrid>
      <w:tr w:rsidR="00CA353C" w:rsidTr="00DF3B22">
        <w:tc>
          <w:tcPr>
            <w:tcW w:w="9782" w:type="dxa"/>
            <w:gridSpan w:val="4"/>
          </w:tcPr>
          <w:p w:rsidR="00CA353C" w:rsidRPr="00CA353C" w:rsidRDefault="00CA353C" w:rsidP="00DF3B22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cs-CZ"/>
              </w:rPr>
            </w:pPr>
            <w:r w:rsidRPr="00CA353C">
              <w:rPr>
                <w:rFonts w:ascii="Arial" w:hAnsi="Arial" w:cs="Arial"/>
                <w:b/>
                <w:sz w:val="28"/>
                <w:szCs w:val="28"/>
                <w:lang w:eastAsia="cs-CZ"/>
              </w:rPr>
              <w:t xml:space="preserve">TOP </w:t>
            </w:r>
            <w:r w:rsidR="00DF3B22">
              <w:rPr>
                <w:rFonts w:ascii="Arial" w:hAnsi="Arial" w:cs="Arial"/>
                <w:b/>
                <w:sz w:val="28"/>
                <w:szCs w:val="28"/>
                <w:lang w:eastAsia="cs-CZ"/>
              </w:rPr>
              <w:t xml:space="preserve">15 </w:t>
            </w:r>
            <w:r w:rsidRPr="00CA353C">
              <w:rPr>
                <w:rFonts w:ascii="Arial" w:hAnsi="Arial" w:cs="Arial"/>
                <w:b/>
                <w:sz w:val="28"/>
                <w:szCs w:val="28"/>
                <w:lang w:eastAsia="cs-CZ"/>
              </w:rPr>
              <w:t>rezidenčních developerů v Praze za rok 2016</w:t>
            </w:r>
          </w:p>
        </w:tc>
      </w:tr>
      <w:tr w:rsidR="00CA353C" w:rsidTr="009653E0">
        <w:tc>
          <w:tcPr>
            <w:tcW w:w="1101" w:type="dxa"/>
          </w:tcPr>
          <w:p w:rsidR="00CA353C" w:rsidRPr="00CA353C" w:rsidRDefault="00CA353C" w:rsidP="009653E0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CA353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72" w:type="dxa"/>
          </w:tcPr>
          <w:p w:rsidR="00CA353C" w:rsidRPr="00CA353C" w:rsidRDefault="00CA353C" w:rsidP="009653E0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CA353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Společnost</w:t>
            </w:r>
          </w:p>
        </w:tc>
        <w:tc>
          <w:tcPr>
            <w:tcW w:w="3114" w:type="dxa"/>
          </w:tcPr>
          <w:p w:rsidR="00CA353C" w:rsidRPr="00CA353C" w:rsidRDefault="00CA353C" w:rsidP="009653E0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CA353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Podíl na trhu</w:t>
            </w:r>
          </w:p>
        </w:tc>
        <w:tc>
          <w:tcPr>
            <w:tcW w:w="3295" w:type="dxa"/>
          </w:tcPr>
          <w:p w:rsidR="00CA353C" w:rsidRPr="00CA353C" w:rsidRDefault="00CA353C" w:rsidP="009653E0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CA353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Poč</w:t>
            </w:r>
            <w:r w:rsidR="00EB6EE8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et prodaných bytů</w:t>
            </w:r>
          </w:p>
        </w:tc>
      </w:tr>
      <w:tr w:rsidR="00CA353C" w:rsidTr="009653E0">
        <w:tc>
          <w:tcPr>
            <w:tcW w:w="1101" w:type="dxa"/>
          </w:tcPr>
          <w:p w:rsidR="00CA353C" w:rsidRDefault="00CA353C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</w:t>
            </w:r>
          </w:p>
        </w:tc>
        <w:tc>
          <w:tcPr>
            <w:tcW w:w="2272" w:type="dxa"/>
          </w:tcPr>
          <w:p w:rsidR="00CA353C" w:rsidRDefault="00DF3B22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Central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Group</w:t>
            </w:r>
          </w:p>
        </w:tc>
        <w:tc>
          <w:tcPr>
            <w:tcW w:w="3114" w:type="dxa"/>
          </w:tcPr>
          <w:p w:rsidR="00CA353C" w:rsidRDefault="00DF3B22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18,7 %</w:t>
            </w:r>
          </w:p>
        </w:tc>
        <w:tc>
          <w:tcPr>
            <w:tcW w:w="3295" w:type="dxa"/>
          </w:tcPr>
          <w:p w:rsidR="00CA353C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1243</w:t>
            </w:r>
          </w:p>
        </w:tc>
      </w:tr>
      <w:tr w:rsidR="00CA353C" w:rsidTr="009653E0">
        <w:tc>
          <w:tcPr>
            <w:tcW w:w="1101" w:type="dxa"/>
          </w:tcPr>
          <w:p w:rsidR="00CA353C" w:rsidRDefault="00CA353C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2.</w:t>
            </w:r>
          </w:p>
        </w:tc>
        <w:tc>
          <w:tcPr>
            <w:tcW w:w="2272" w:type="dxa"/>
          </w:tcPr>
          <w:p w:rsidR="00CA353C" w:rsidRDefault="00DF3B22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Finep</w:t>
            </w:r>
            <w:proofErr w:type="spellEnd"/>
          </w:p>
        </w:tc>
        <w:tc>
          <w:tcPr>
            <w:tcW w:w="3114" w:type="dxa"/>
          </w:tcPr>
          <w:p w:rsidR="00CA353C" w:rsidRDefault="00DF3B22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9,9 %</w:t>
            </w:r>
          </w:p>
        </w:tc>
        <w:tc>
          <w:tcPr>
            <w:tcW w:w="3295" w:type="dxa"/>
          </w:tcPr>
          <w:p w:rsidR="00CA353C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661</w:t>
            </w:r>
          </w:p>
        </w:tc>
      </w:tr>
      <w:tr w:rsidR="00CA353C" w:rsidTr="009653E0">
        <w:tc>
          <w:tcPr>
            <w:tcW w:w="1101" w:type="dxa"/>
          </w:tcPr>
          <w:p w:rsidR="00CA353C" w:rsidRDefault="00CA353C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3.</w:t>
            </w:r>
          </w:p>
        </w:tc>
        <w:tc>
          <w:tcPr>
            <w:tcW w:w="2272" w:type="dxa"/>
          </w:tcPr>
          <w:p w:rsidR="00CA353C" w:rsidRDefault="00DF3B22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Skanska Reality</w:t>
            </w:r>
          </w:p>
        </w:tc>
        <w:tc>
          <w:tcPr>
            <w:tcW w:w="3114" w:type="dxa"/>
          </w:tcPr>
          <w:p w:rsidR="00CA353C" w:rsidRDefault="00DF3B22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6,8 %</w:t>
            </w:r>
          </w:p>
        </w:tc>
        <w:tc>
          <w:tcPr>
            <w:tcW w:w="3295" w:type="dxa"/>
          </w:tcPr>
          <w:p w:rsidR="00CA353C" w:rsidRDefault="00DF3B22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450</w:t>
            </w:r>
          </w:p>
        </w:tc>
      </w:tr>
      <w:tr w:rsidR="00CA353C" w:rsidTr="009653E0">
        <w:tc>
          <w:tcPr>
            <w:tcW w:w="1101" w:type="dxa"/>
          </w:tcPr>
          <w:p w:rsidR="00CA353C" w:rsidRDefault="00CA353C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4.</w:t>
            </w:r>
          </w:p>
        </w:tc>
        <w:tc>
          <w:tcPr>
            <w:tcW w:w="2272" w:type="dxa"/>
          </w:tcPr>
          <w:p w:rsidR="00CA353C" w:rsidRDefault="00DF3B22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AFI</w:t>
            </w:r>
          </w:p>
        </w:tc>
        <w:tc>
          <w:tcPr>
            <w:tcW w:w="3114" w:type="dxa"/>
          </w:tcPr>
          <w:p w:rsidR="00CA353C" w:rsidRDefault="00DF3B22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4,9 %</w:t>
            </w:r>
          </w:p>
        </w:tc>
        <w:tc>
          <w:tcPr>
            <w:tcW w:w="3295" w:type="dxa"/>
          </w:tcPr>
          <w:p w:rsidR="00CA353C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323</w:t>
            </w:r>
          </w:p>
        </w:tc>
      </w:tr>
      <w:tr w:rsidR="00CA353C" w:rsidTr="009653E0">
        <w:tc>
          <w:tcPr>
            <w:tcW w:w="1101" w:type="dxa"/>
          </w:tcPr>
          <w:p w:rsidR="00CA353C" w:rsidRDefault="00CA353C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5.</w:t>
            </w:r>
          </w:p>
        </w:tc>
        <w:tc>
          <w:tcPr>
            <w:tcW w:w="2272" w:type="dxa"/>
          </w:tcPr>
          <w:p w:rsidR="00CA353C" w:rsidRDefault="00DF3B22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Daramis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Group</w:t>
            </w:r>
          </w:p>
        </w:tc>
        <w:tc>
          <w:tcPr>
            <w:tcW w:w="3114" w:type="dxa"/>
          </w:tcPr>
          <w:p w:rsidR="00CA353C" w:rsidRDefault="00DF3B22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4,2 %</w:t>
            </w:r>
          </w:p>
        </w:tc>
        <w:tc>
          <w:tcPr>
            <w:tcW w:w="3295" w:type="dxa"/>
          </w:tcPr>
          <w:p w:rsidR="00CA353C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278</w:t>
            </w:r>
          </w:p>
        </w:tc>
      </w:tr>
      <w:tr w:rsidR="00CA353C" w:rsidTr="009653E0">
        <w:tc>
          <w:tcPr>
            <w:tcW w:w="1101" w:type="dxa"/>
          </w:tcPr>
          <w:p w:rsidR="00CA353C" w:rsidRDefault="0052137F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</w:t>
            </w:r>
            <w:r w:rsidR="00DF3B22">
              <w:rPr>
                <w:rFonts w:ascii="Arial" w:hAnsi="Arial" w:cs="Arial"/>
                <w:lang w:eastAsia="cs-CZ"/>
              </w:rPr>
              <w:t>.</w:t>
            </w:r>
          </w:p>
        </w:tc>
        <w:tc>
          <w:tcPr>
            <w:tcW w:w="2272" w:type="dxa"/>
          </w:tcPr>
          <w:p w:rsidR="00CA353C" w:rsidRDefault="00DF3B22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Vivus</w:t>
            </w:r>
            <w:proofErr w:type="spellEnd"/>
          </w:p>
        </w:tc>
        <w:tc>
          <w:tcPr>
            <w:tcW w:w="3114" w:type="dxa"/>
          </w:tcPr>
          <w:p w:rsidR="00CA353C" w:rsidRDefault="00DF3B22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3,9 %</w:t>
            </w:r>
          </w:p>
        </w:tc>
        <w:tc>
          <w:tcPr>
            <w:tcW w:w="3295" w:type="dxa"/>
          </w:tcPr>
          <w:p w:rsidR="00CA353C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259</w:t>
            </w:r>
          </w:p>
        </w:tc>
      </w:tr>
      <w:tr w:rsidR="00CA353C" w:rsidTr="009653E0">
        <w:tc>
          <w:tcPr>
            <w:tcW w:w="1101" w:type="dxa"/>
          </w:tcPr>
          <w:p w:rsidR="00CA353C" w:rsidRDefault="00CA353C" w:rsidP="0052137F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7.</w:t>
            </w:r>
          </w:p>
        </w:tc>
        <w:tc>
          <w:tcPr>
            <w:tcW w:w="2272" w:type="dxa"/>
          </w:tcPr>
          <w:p w:rsidR="00CA353C" w:rsidRDefault="00DF3B22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YIT </w:t>
            </w:r>
            <w:proofErr w:type="spellStart"/>
            <w:r>
              <w:rPr>
                <w:rFonts w:ascii="Arial" w:hAnsi="Arial" w:cs="Arial"/>
                <w:lang w:eastAsia="cs-CZ"/>
              </w:rPr>
              <w:t>Stavo</w:t>
            </w:r>
            <w:proofErr w:type="spellEnd"/>
          </w:p>
        </w:tc>
        <w:tc>
          <w:tcPr>
            <w:tcW w:w="3114" w:type="dxa"/>
          </w:tcPr>
          <w:p w:rsidR="00CA353C" w:rsidRDefault="00DF3B22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3,9 %</w:t>
            </w:r>
          </w:p>
        </w:tc>
        <w:tc>
          <w:tcPr>
            <w:tcW w:w="3295" w:type="dxa"/>
          </w:tcPr>
          <w:p w:rsidR="00CA353C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257</w:t>
            </w:r>
          </w:p>
        </w:tc>
      </w:tr>
      <w:tr w:rsidR="00CA353C" w:rsidTr="009653E0">
        <w:tc>
          <w:tcPr>
            <w:tcW w:w="1101" w:type="dxa"/>
          </w:tcPr>
          <w:p w:rsidR="00CA353C" w:rsidRDefault="00DF3B22" w:rsidP="00DF3B22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 </w:t>
            </w:r>
            <w:r w:rsidR="00CA353C">
              <w:rPr>
                <w:rFonts w:ascii="Arial" w:hAnsi="Arial" w:cs="Arial"/>
                <w:lang w:eastAsia="cs-CZ"/>
              </w:rPr>
              <w:t>8.</w:t>
            </w:r>
          </w:p>
        </w:tc>
        <w:tc>
          <w:tcPr>
            <w:tcW w:w="2272" w:type="dxa"/>
          </w:tcPr>
          <w:p w:rsidR="00CA353C" w:rsidRDefault="00DF3B22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M&amp;K </w:t>
            </w:r>
            <w:proofErr w:type="spellStart"/>
            <w:r>
              <w:rPr>
                <w:rFonts w:ascii="Arial" w:hAnsi="Arial" w:cs="Arial"/>
                <w:lang w:eastAsia="cs-CZ"/>
              </w:rPr>
              <w:t>Development</w:t>
            </w:r>
            <w:proofErr w:type="spellEnd"/>
          </w:p>
        </w:tc>
        <w:tc>
          <w:tcPr>
            <w:tcW w:w="3114" w:type="dxa"/>
          </w:tcPr>
          <w:p w:rsidR="00CA353C" w:rsidRDefault="00DF3B22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2,9 %</w:t>
            </w:r>
          </w:p>
        </w:tc>
        <w:tc>
          <w:tcPr>
            <w:tcW w:w="3295" w:type="dxa"/>
          </w:tcPr>
          <w:p w:rsidR="00CA353C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195</w:t>
            </w:r>
          </w:p>
        </w:tc>
      </w:tr>
      <w:tr w:rsidR="00CA353C" w:rsidTr="009653E0">
        <w:tc>
          <w:tcPr>
            <w:tcW w:w="1101" w:type="dxa"/>
          </w:tcPr>
          <w:p w:rsidR="00CA353C" w:rsidRDefault="00CA353C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9.</w:t>
            </w:r>
          </w:p>
        </w:tc>
        <w:tc>
          <w:tcPr>
            <w:tcW w:w="2272" w:type="dxa"/>
          </w:tcPr>
          <w:p w:rsidR="00CA353C" w:rsidRDefault="00DF3B22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Metrostav </w:t>
            </w:r>
            <w:proofErr w:type="spellStart"/>
            <w:r>
              <w:rPr>
                <w:rFonts w:ascii="Arial" w:hAnsi="Arial" w:cs="Arial"/>
                <w:lang w:eastAsia="cs-CZ"/>
              </w:rPr>
              <w:t>Dev</w:t>
            </w:r>
            <w:proofErr w:type="spellEnd"/>
            <w:r>
              <w:rPr>
                <w:rFonts w:ascii="Arial" w:hAnsi="Arial" w:cs="Arial"/>
                <w:lang w:eastAsia="cs-CZ"/>
              </w:rPr>
              <w:t>.</w:t>
            </w:r>
          </w:p>
        </w:tc>
        <w:tc>
          <w:tcPr>
            <w:tcW w:w="3114" w:type="dxa"/>
          </w:tcPr>
          <w:p w:rsidR="00CA353C" w:rsidRDefault="00DF3B22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2,9 %</w:t>
            </w:r>
          </w:p>
        </w:tc>
        <w:tc>
          <w:tcPr>
            <w:tcW w:w="3295" w:type="dxa"/>
          </w:tcPr>
          <w:p w:rsidR="00CA353C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191</w:t>
            </w:r>
          </w:p>
        </w:tc>
      </w:tr>
      <w:tr w:rsidR="00CA353C" w:rsidTr="009653E0">
        <w:tc>
          <w:tcPr>
            <w:tcW w:w="1101" w:type="dxa"/>
          </w:tcPr>
          <w:p w:rsidR="00CA353C" w:rsidRDefault="00CA353C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10.</w:t>
            </w:r>
          </w:p>
        </w:tc>
        <w:tc>
          <w:tcPr>
            <w:tcW w:w="2272" w:type="dxa"/>
          </w:tcPr>
          <w:p w:rsidR="00CA353C" w:rsidRDefault="00DF3B22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Rezidence Veselská</w:t>
            </w:r>
          </w:p>
        </w:tc>
        <w:tc>
          <w:tcPr>
            <w:tcW w:w="3114" w:type="dxa"/>
          </w:tcPr>
          <w:p w:rsidR="00CA353C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2,8 %</w:t>
            </w:r>
          </w:p>
        </w:tc>
        <w:tc>
          <w:tcPr>
            <w:tcW w:w="3295" w:type="dxa"/>
          </w:tcPr>
          <w:p w:rsidR="00CA353C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186</w:t>
            </w:r>
          </w:p>
        </w:tc>
      </w:tr>
      <w:tr w:rsidR="00DF3B22" w:rsidTr="009653E0">
        <w:tc>
          <w:tcPr>
            <w:tcW w:w="1101" w:type="dxa"/>
          </w:tcPr>
          <w:p w:rsidR="00DF3B22" w:rsidRDefault="00DF3B22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11.</w:t>
            </w:r>
          </w:p>
        </w:tc>
        <w:tc>
          <w:tcPr>
            <w:tcW w:w="2272" w:type="dxa"/>
          </w:tcPr>
          <w:p w:rsidR="00DF3B22" w:rsidRDefault="0052137F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PSN</w:t>
            </w:r>
          </w:p>
        </w:tc>
        <w:tc>
          <w:tcPr>
            <w:tcW w:w="3114" w:type="dxa"/>
          </w:tcPr>
          <w:p w:rsidR="00DF3B22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2,4 %</w:t>
            </w:r>
          </w:p>
        </w:tc>
        <w:tc>
          <w:tcPr>
            <w:tcW w:w="3295" w:type="dxa"/>
          </w:tcPr>
          <w:p w:rsidR="00DF3B22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161</w:t>
            </w:r>
          </w:p>
        </w:tc>
      </w:tr>
      <w:tr w:rsidR="00DF3B22" w:rsidTr="009653E0">
        <w:tc>
          <w:tcPr>
            <w:tcW w:w="1101" w:type="dxa"/>
          </w:tcPr>
          <w:p w:rsidR="00DF3B22" w:rsidRDefault="00DF3B22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12.</w:t>
            </w:r>
          </w:p>
        </w:tc>
        <w:tc>
          <w:tcPr>
            <w:tcW w:w="2272" w:type="dxa"/>
          </w:tcPr>
          <w:p w:rsidR="00DF3B22" w:rsidRDefault="0052137F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Star Group</w:t>
            </w:r>
          </w:p>
        </w:tc>
        <w:tc>
          <w:tcPr>
            <w:tcW w:w="3114" w:type="dxa"/>
          </w:tcPr>
          <w:p w:rsidR="00DF3B22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2,2 %</w:t>
            </w:r>
          </w:p>
        </w:tc>
        <w:tc>
          <w:tcPr>
            <w:tcW w:w="3295" w:type="dxa"/>
          </w:tcPr>
          <w:p w:rsidR="00DF3B22" w:rsidRDefault="0052137F" w:rsidP="0052137F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147</w:t>
            </w:r>
          </w:p>
        </w:tc>
      </w:tr>
      <w:tr w:rsidR="00DF3B22" w:rsidTr="009653E0">
        <w:tc>
          <w:tcPr>
            <w:tcW w:w="1101" w:type="dxa"/>
          </w:tcPr>
          <w:p w:rsidR="00DF3B22" w:rsidRDefault="00DF3B22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13.</w:t>
            </w:r>
          </w:p>
        </w:tc>
        <w:tc>
          <w:tcPr>
            <w:tcW w:w="2272" w:type="dxa"/>
          </w:tcPr>
          <w:p w:rsidR="00DF3B22" w:rsidRDefault="0052137F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Penta</w:t>
            </w:r>
            <w:proofErr w:type="spellEnd"/>
          </w:p>
        </w:tc>
        <w:tc>
          <w:tcPr>
            <w:tcW w:w="3114" w:type="dxa"/>
          </w:tcPr>
          <w:p w:rsidR="00DF3B22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2,1 %</w:t>
            </w:r>
          </w:p>
        </w:tc>
        <w:tc>
          <w:tcPr>
            <w:tcW w:w="3295" w:type="dxa"/>
          </w:tcPr>
          <w:p w:rsidR="00DF3B22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140</w:t>
            </w:r>
          </w:p>
        </w:tc>
      </w:tr>
      <w:tr w:rsidR="00DF3B22" w:rsidTr="009653E0">
        <w:tc>
          <w:tcPr>
            <w:tcW w:w="1101" w:type="dxa"/>
          </w:tcPr>
          <w:p w:rsidR="00DF3B22" w:rsidRDefault="00DF3B22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14.</w:t>
            </w:r>
          </w:p>
        </w:tc>
        <w:tc>
          <w:tcPr>
            <w:tcW w:w="2272" w:type="dxa"/>
          </w:tcPr>
          <w:p w:rsidR="00DF3B22" w:rsidRDefault="0052137F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Horizon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Holding</w:t>
            </w:r>
          </w:p>
        </w:tc>
        <w:tc>
          <w:tcPr>
            <w:tcW w:w="3114" w:type="dxa"/>
          </w:tcPr>
          <w:p w:rsidR="00DF3B22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2,1 %</w:t>
            </w:r>
          </w:p>
        </w:tc>
        <w:tc>
          <w:tcPr>
            <w:tcW w:w="3295" w:type="dxa"/>
          </w:tcPr>
          <w:p w:rsidR="00DF3B22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137</w:t>
            </w:r>
          </w:p>
        </w:tc>
      </w:tr>
      <w:tr w:rsidR="00DF3B22" w:rsidTr="009653E0">
        <w:tc>
          <w:tcPr>
            <w:tcW w:w="1101" w:type="dxa"/>
          </w:tcPr>
          <w:p w:rsidR="00DF3B22" w:rsidRDefault="00DF3B22" w:rsidP="00DF3B22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proofErr w:type="gramStart"/>
            <w:r>
              <w:rPr>
                <w:rFonts w:ascii="Arial" w:hAnsi="Arial" w:cs="Arial"/>
                <w:lang w:eastAsia="cs-CZ"/>
              </w:rPr>
              <w:t>15.–17</w:t>
            </w:r>
            <w:proofErr w:type="gramEnd"/>
            <w:r>
              <w:rPr>
                <w:rFonts w:ascii="Arial" w:hAnsi="Arial" w:cs="Arial"/>
                <w:lang w:eastAsia="cs-CZ"/>
              </w:rPr>
              <w:t>.</w:t>
            </w:r>
          </w:p>
        </w:tc>
        <w:tc>
          <w:tcPr>
            <w:tcW w:w="2272" w:type="dxa"/>
          </w:tcPr>
          <w:p w:rsidR="00DF3B22" w:rsidRDefault="0052137F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Trigema</w:t>
            </w:r>
            <w:proofErr w:type="spellEnd"/>
          </w:p>
        </w:tc>
        <w:tc>
          <w:tcPr>
            <w:tcW w:w="3114" w:type="dxa"/>
          </w:tcPr>
          <w:p w:rsidR="00DF3B22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2,0 %</w:t>
            </w:r>
          </w:p>
        </w:tc>
        <w:tc>
          <w:tcPr>
            <w:tcW w:w="3295" w:type="dxa"/>
          </w:tcPr>
          <w:p w:rsidR="00DF3B22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136</w:t>
            </w:r>
          </w:p>
        </w:tc>
      </w:tr>
      <w:tr w:rsidR="00DF3B22" w:rsidTr="009653E0">
        <w:tc>
          <w:tcPr>
            <w:tcW w:w="1101" w:type="dxa"/>
          </w:tcPr>
          <w:p w:rsidR="00DF3B22" w:rsidRDefault="00DF3B22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proofErr w:type="gramStart"/>
            <w:r>
              <w:rPr>
                <w:rFonts w:ascii="Arial" w:hAnsi="Arial" w:cs="Arial"/>
                <w:lang w:eastAsia="cs-CZ"/>
              </w:rPr>
              <w:t>15.–17</w:t>
            </w:r>
            <w:proofErr w:type="gramEnd"/>
            <w:r>
              <w:rPr>
                <w:rFonts w:ascii="Arial" w:hAnsi="Arial" w:cs="Arial"/>
                <w:lang w:eastAsia="cs-CZ"/>
              </w:rPr>
              <w:t>.</w:t>
            </w:r>
          </w:p>
        </w:tc>
        <w:tc>
          <w:tcPr>
            <w:tcW w:w="2272" w:type="dxa"/>
          </w:tcPr>
          <w:p w:rsidR="00DF3B22" w:rsidRDefault="0052137F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Crestyl</w:t>
            </w:r>
            <w:proofErr w:type="spellEnd"/>
          </w:p>
        </w:tc>
        <w:tc>
          <w:tcPr>
            <w:tcW w:w="3114" w:type="dxa"/>
          </w:tcPr>
          <w:p w:rsidR="00DF3B22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2,0 %</w:t>
            </w:r>
          </w:p>
        </w:tc>
        <w:tc>
          <w:tcPr>
            <w:tcW w:w="3295" w:type="dxa"/>
          </w:tcPr>
          <w:p w:rsidR="00DF3B22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136</w:t>
            </w:r>
          </w:p>
        </w:tc>
      </w:tr>
      <w:tr w:rsidR="00DF3B22" w:rsidTr="009653E0">
        <w:tc>
          <w:tcPr>
            <w:tcW w:w="1101" w:type="dxa"/>
          </w:tcPr>
          <w:p w:rsidR="00DF3B22" w:rsidRDefault="00DF3B22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proofErr w:type="gramStart"/>
            <w:r>
              <w:rPr>
                <w:rFonts w:ascii="Arial" w:hAnsi="Arial" w:cs="Arial"/>
                <w:lang w:eastAsia="cs-CZ"/>
              </w:rPr>
              <w:t>15.–17</w:t>
            </w:r>
            <w:proofErr w:type="gramEnd"/>
            <w:r>
              <w:rPr>
                <w:rFonts w:ascii="Arial" w:hAnsi="Arial" w:cs="Arial"/>
                <w:lang w:eastAsia="cs-CZ"/>
              </w:rPr>
              <w:t>.</w:t>
            </w:r>
          </w:p>
        </w:tc>
        <w:tc>
          <w:tcPr>
            <w:tcW w:w="2272" w:type="dxa"/>
          </w:tcPr>
          <w:p w:rsidR="00DF3B22" w:rsidRDefault="0052137F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UDI</w:t>
            </w:r>
          </w:p>
        </w:tc>
        <w:tc>
          <w:tcPr>
            <w:tcW w:w="3114" w:type="dxa"/>
          </w:tcPr>
          <w:p w:rsidR="00DF3B22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2,0 %</w:t>
            </w:r>
          </w:p>
        </w:tc>
        <w:tc>
          <w:tcPr>
            <w:tcW w:w="3295" w:type="dxa"/>
          </w:tcPr>
          <w:p w:rsidR="00DF3B22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136</w:t>
            </w:r>
          </w:p>
        </w:tc>
      </w:tr>
      <w:tr w:rsidR="0052137F" w:rsidTr="009653E0">
        <w:tc>
          <w:tcPr>
            <w:tcW w:w="6487" w:type="dxa"/>
            <w:gridSpan w:val="3"/>
          </w:tcPr>
          <w:p w:rsidR="0052137F" w:rsidRPr="009653E0" w:rsidRDefault="0052137F" w:rsidP="0052137F">
            <w:pPr>
              <w:spacing w:after="0"/>
              <w:contextualSpacing/>
              <w:rPr>
                <w:rFonts w:ascii="Arial" w:hAnsi="Arial" w:cs="Arial"/>
                <w:b/>
                <w:lang w:eastAsia="cs-CZ"/>
              </w:rPr>
            </w:pPr>
            <w:r w:rsidRPr="009653E0">
              <w:rPr>
                <w:rFonts w:ascii="Arial" w:hAnsi="Arial" w:cs="Arial"/>
                <w:b/>
                <w:lang w:eastAsia="cs-CZ"/>
              </w:rPr>
              <w:t>Celkem v Praze prodáno</w:t>
            </w:r>
            <w:r w:rsidR="00EB6EE8" w:rsidRPr="009653E0">
              <w:rPr>
                <w:rFonts w:ascii="Arial" w:hAnsi="Arial" w:cs="Arial"/>
                <w:b/>
                <w:lang w:eastAsia="cs-CZ"/>
              </w:rPr>
              <w:t xml:space="preserve"> všemi developery</w:t>
            </w:r>
          </w:p>
        </w:tc>
        <w:tc>
          <w:tcPr>
            <w:tcW w:w="3295" w:type="dxa"/>
          </w:tcPr>
          <w:p w:rsidR="0052137F" w:rsidRPr="009653E0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  <w:r w:rsidRPr="009653E0">
              <w:rPr>
                <w:rFonts w:ascii="Arial" w:hAnsi="Arial" w:cs="Arial"/>
                <w:b/>
                <w:lang w:eastAsia="cs-CZ"/>
              </w:rPr>
              <w:t>6650</w:t>
            </w:r>
          </w:p>
        </w:tc>
      </w:tr>
    </w:tbl>
    <w:p w:rsidR="009653E0" w:rsidRPr="0032321E" w:rsidRDefault="009653E0" w:rsidP="005E05FE">
      <w:pPr>
        <w:spacing w:after="0"/>
        <w:contextualSpacing/>
        <w:jc w:val="both"/>
        <w:rPr>
          <w:rFonts w:ascii="Arial" w:hAnsi="Arial" w:cs="Arial"/>
          <w:i/>
          <w:sz w:val="18"/>
          <w:szCs w:val="18"/>
          <w:lang w:eastAsia="cs-CZ"/>
        </w:rPr>
      </w:pPr>
      <w:r w:rsidRPr="0032321E">
        <w:rPr>
          <w:rFonts w:ascii="Arial" w:hAnsi="Arial" w:cs="Arial"/>
          <w:i/>
          <w:sz w:val="18"/>
          <w:szCs w:val="18"/>
          <w:lang w:eastAsia="cs-CZ"/>
        </w:rPr>
        <w:t xml:space="preserve">Zdroj: společné analýzy </w:t>
      </w:r>
      <w:proofErr w:type="spellStart"/>
      <w:r w:rsidRPr="0032321E">
        <w:rPr>
          <w:rFonts w:ascii="Arial" w:hAnsi="Arial" w:cs="Arial"/>
          <w:i/>
          <w:sz w:val="18"/>
          <w:szCs w:val="18"/>
          <w:lang w:eastAsia="cs-CZ"/>
        </w:rPr>
        <w:t>Central</w:t>
      </w:r>
      <w:proofErr w:type="spellEnd"/>
      <w:r w:rsidRPr="0032321E">
        <w:rPr>
          <w:rFonts w:ascii="Arial" w:hAnsi="Arial" w:cs="Arial"/>
          <w:i/>
          <w:sz w:val="18"/>
          <w:szCs w:val="18"/>
          <w:lang w:eastAsia="cs-CZ"/>
        </w:rPr>
        <w:t xml:space="preserve"> Group, </w:t>
      </w:r>
      <w:proofErr w:type="spellStart"/>
      <w:r w:rsidRPr="0032321E">
        <w:rPr>
          <w:rFonts w:ascii="Arial" w:hAnsi="Arial" w:cs="Arial"/>
          <w:i/>
          <w:sz w:val="18"/>
          <w:szCs w:val="18"/>
          <w:lang w:eastAsia="cs-CZ"/>
        </w:rPr>
        <w:t>Trigema</w:t>
      </w:r>
      <w:proofErr w:type="spellEnd"/>
      <w:r w:rsidRPr="0032321E">
        <w:rPr>
          <w:rFonts w:ascii="Arial" w:hAnsi="Arial" w:cs="Arial"/>
          <w:i/>
          <w:sz w:val="18"/>
          <w:szCs w:val="18"/>
          <w:lang w:eastAsia="cs-CZ"/>
        </w:rPr>
        <w:t>, Skanska Reality.</w:t>
      </w:r>
      <w:r w:rsidR="004F1830" w:rsidRPr="0032321E">
        <w:rPr>
          <w:rFonts w:ascii="Arial" w:hAnsi="Arial" w:cs="Arial"/>
          <w:i/>
          <w:sz w:val="18"/>
          <w:szCs w:val="18"/>
          <w:lang w:eastAsia="cs-CZ"/>
        </w:rPr>
        <w:t xml:space="preserve"> Počty bytů jsou vykázány na základě úbytku bytů z internetových ceníků developerů mezi 1. 1. 2016 a 31. 12. 2016. </w:t>
      </w:r>
      <w:r w:rsidRPr="0032321E">
        <w:rPr>
          <w:rFonts w:ascii="Arial" w:hAnsi="Arial" w:cs="Arial"/>
          <w:i/>
          <w:sz w:val="18"/>
          <w:szCs w:val="18"/>
          <w:lang w:eastAsia="cs-CZ"/>
        </w:rPr>
        <w:t xml:space="preserve">U společností podnikajících i mimo Prahu tabulka </w:t>
      </w:r>
      <w:r w:rsidRPr="0032321E">
        <w:rPr>
          <w:rFonts w:ascii="Arial" w:hAnsi="Arial" w:cs="Arial"/>
          <w:i/>
          <w:sz w:val="18"/>
          <w:szCs w:val="18"/>
          <w:lang w:eastAsia="cs-CZ"/>
        </w:rPr>
        <w:lastRenderedPageBreak/>
        <w:t xml:space="preserve">zahrnuje jen podané byty na území hlavního města. Nejsou zde započítány také blokové prodeje celých projektů jiným subjektům například družstvům, v případě, že jsou byty nadále v prodeji u těchto sekundárních prodejců. </w:t>
      </w:r>
    </w:p>
    <w:p w:rsidR="009653E0" w:rsidRDefault="009653E0" w:rsidP="005E05F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B56BD" w:rsidRDefault="00C50A86" w:rsidP="00CB56BD">
      <w:pPr>
        <w:spacing w:after="0"/>
        <w:contextualSpacing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je dlouhodobě n</w:t>
      </w:r>
      <w:r w:rsidR="0052137F">
        <w:rPr>
          <w:rFonts w:ascii="Arial" w:hAnsi="Arial" w:cs="Arial"/>
          <w:lang w:eastAsia="cs-CZ"/>
        </w:rPr>
        <w:t xml:space="preserve">ejvětším stavitelem nových bytů </w:t>
      </w:r>
      <w:r w:rsidR="0052137F" w:rsidRPr="006D26FA">
        <w:rPr>
          <w:rFonts w:ascii="Arial" w:hAnsi="Arial" w:cs="Arial"/>
          <w:lang w:eastAsia="cs-CZ"/>
        </w:rPr>
        <w:t>v Praze i celém Česku</w:t>
      </w:r>
      <w:r>
        <w:rPr>
          <w:rFonts w:ascii="Arial" w:hAnsi="Arial" w:cs="Arial"/>
          <w:lang w:eastAsia="cs-CZ"/>
        </w:rPr>
        <w:t>. V</w:t>
      </w:r>
      <w:r w:rsidR="0052137F">
        <w:rPr>
          <w:rFonts w:ascii="Arial" w:hAnsi="Arial" w:cs="Arial"/>
          <w:lang w:eastAsia="cs-CZ"/>
        </w:rPr>
        <w:t>loni</w:t>
      </w:r>
      <w:r w:rsidR="0052137F" w:rsidRPr="006D26FA">
        <w:rPr>
          <w:rFonts w:ascii="Arial" w:hAnsi="Arial" w:cs="Arial"/>
          <w:lang w:eastAsia="cs-CZ"/>
        </w:rPr>
        <w:t xml:space="preserve"> </w:t>
      </w:r>
      <w:r w:rsidR="0052137F">
        <w:rPr>
          <w:rFonts w:ascii="Arial" w:hAnsi="Arial" w:cs="Arial"/>
          <w:lang w:eastAsia="cs-CZ"/>
        </w:rPr>
        <w:t xml:space="preserve">prodal 1243 bytů </w:t>
      </w:r>
      <w:r>
        <w:rPr>
          <w:rFonts w:ascii="Arial" w:hAnsi="Arial" w:cs="Arial"/>
          <w:lang w:eastAsia="cs-CZ"/>
        </w:rPr>
        <w:t>za 5,2 miliardy ko</w:t>
      </w:r>
      <w:r w:rsidR="00AE40AB">
        <w:rPr>
          <w:rFonts w:ascii="Arial" w:hAnsi="Arial" w:cs="Arial"/>
          <w:lang w:eastAsia="cs-CZ"/>
        </w:rPr>
        <w:t>r</w:t>
      </w:r>
      <w:r>
        <w:rPr>
          <w:rFonts w:ascii="Arial" w:hAnsi="Arial" w:cs="Arial"/>
          <w:lang w:eastAsia="cs-CZ"/>
        </w:rPr>
        <w:t xml:space="preserve">un </w:t>
      </w:r>
      <w:r w:rsidR="0052137F">
        <w:rPr>
          <w:rFonts w:ascii="Arial" w:hAnsi="Arial" w:cs="Arial"/>
          <w:lang w:eastAsia="cs-CZ"/>
        </w:rPr>
        <w:t xml:space="preserve">a </w:t>
      </w:r>
      <w:r w:rsidR="0052137F" w:rsidRPr="006D26FA">
        <w:rPr>
          <w:rFonts w:ascii="Arial" w:hAnsi="Arial" w:cs="Arial"/>
          <w:lang w:eastAsia="cs-CZ"/>
        </w:rPr>
        <w:t xml:space="preserve">na pražském trhu </w:t>
      </w:r>
      <w:r w:rsidR="0052137F">
        <w:rPr>
          <w:rFonts w:ascii="Arial" w:hAnsi="Arial" w:cs="Arial"/>
          <w:lang w:eastAsia="cs-CZ"/>
        </w:rPr>
        <w:t xml:space="preserve">se </w:t>
      </w:r>
      <w:r w:rsidR="0052137F" w:rsidRPr="006D26FA">
        <w:rPr>
          <w:rFonts w:ascii="Arial" w:hAnsi="Arial" w:cs="Arial"/>
          <w:lang w:eastAsia="cs-CZ"/>
        </w:rPr>
        <w:t xml:space="preserve">podílí </w:t>
      </w:r>
      <w:r w:rsidR="0052137F">
        <w:rPr>
          <w:rFonts w:ascii="Arial" w:hAnsi="Arial" w:cs="Arial"/>
          <w:lang w:eastAsia="cs-CZ"/>
        </w:rPr>
        <w:t xml:space="preserve">18,7 </w:t>
      </w:r>
      <w:r w:rsidR="0052137F" w:rsidRPr="006D26FA">
        <w:rPr>
          <w:rFonts w:ascii="Arial" w:hAnsi="Arial" w:cs="Arial"/>
          <w:lang w:eastAsia="cs-CZ"/>
        </w:rPr>
        <w:t>procent</w:t>
      </w:r>
      <w:r w:rsidR="0052137F">
        <w:rPr>
          <w:rFonts w:ascii="Arial" w:hAnsi="Arial" w:cs="Arial"/>
          <w:lang w:eastAsia="cs-CZ"/>
        </w:rPr>
        <w:t>a</w:t>
      </w:r>
      <w:r w:rsidR="0052137F" w:rsidRPr="006D26FA">
        <w:rPr>
          <w:rFonts w:ascii="Arial" w:hAnsi="Arial" w:cs="Arial"/>
          <w:lang w:eastAsia="cs-CZ"/>
        </w:rPr>
        <w:t xml:space="preserve">. </w:t>
      </w:r>
      <w:r w:rsidR="0052137F">
        <w:rPr>
          <w:rFonts w:ascii="Arial" w:hAnsi="Arial" w:cs="Arial"/>
          <w:lang w:eastAsia="cs-CZ"/>
        </w:rPr>
        <w:t xml:space="preserve">Za uplynulý rok tak jeho podíl narostl </w:t>
      </w:r>
      <w:r w:rsidR="0052137F" w:rsidRPr="006D26FA">
        <w:rPr>
          <w:rFonts w:ascii="Arial" w:hAnsi="Arial" w:cs="Arial"/>
          <w:lang w:eastAsia="cs-CZ"/>
        </w:rPr>
        <w:t xml:space="preserve">o </w:t>
      </w:r>
      <w:r w:rsidR="0052137F">
        <w:rPr>
          <w:rFonts w:ascii="Arial" w:hAnsi="Arial" w:cs="Arial"/>
          <w:lang w:eastAsia="cs-CZ"/>
        </w:rPr>
        <w:t xml:space="preserve">téměř </w:t>
      </w:r>
      <w:r w:rsidR="005D029C">
        <w:rPr>
          <w:rFonts w:ascii="Arial" w:hAnsi="Arial" w:cs="Arial"/>
          <w:lang w:eastAsia="cs-CZ"/>
        </w:rPr>
        <w:t>2,5</w:t>
      </w:r>
      <w:r w:rsidR="0052137F">
        <w:rPr>
          <w:rFonts w:ascii="Arial" w:hAnsi="Arial" w:cs="Arial"/>
          <w:lang w:eastAsia="cs-CZ"/>
        </w:rPr>
        <w:t xml:space="preserve"> </w:t>
      </w:r>
      <w:r w:rsidR="0052137F" w:rsidRPr="006D26FA">
        <w:rPr>
          <w:rFonts w:ascii="Arial" w:hAnsi="Arial" w:cs="Arial"/>
          <w:lang w:eastAsia="cs-CZ"/>
        </w:rPr>
        <w:t xml:space="preserve">procentních bodů. Dvojkou na pražském trhu je </w:t>
      </w:r>
      <w:proofErr w:type="spellStart"/>
      <w:r w:rsidR="0052137F">
        <w:rPr>
          <w:rFonts w:ascii="Arial" w:hAnsi="Arial" w:cs="Arial"/>
          <w:lang w:eastAsia="cs-CZ"/>
        </w:rPr>
        <w:t>Finep</w:t>
      </w:r>
      <w:proofErr w:type="spellEnd"/>
      <w:r w:rsidR="0052137F">
        <w:rPr>
          <w:rFonts w:ascii="Arial" w:hAnsi="Arial" w:cs="Arial"/>
          <w:lang w:eastAsia="cs-CZ"/>
        </w:rPr>
        <w:t xml:space="preserve"> s 661 prodanými byty a se zhruba deseti procenty trhu. Žádný další developer nepřekročil desetiprocentní podíl na trhu. </w:t>
      </w:r>
      <w:r w:rsidR="00CB56BD">
        <w:rPr>
          <w:rFonts w:ascii="Arial" w:hAnsi="Arial" w:cs="Arial"/>
          <w:lang w:eastAsia="cs-CZ"/>
        </w:rPr>
        <w:t>N</w:t>
      </w:r>
      <w:r w:rsidR="00CB56BD" w:rsidRPr="006D26FA">
        <w:rPr>
          <w:rFonts w:ascii="Arial" w:hAnsi="Arial" w:cs="Arial"/>
          <w:lang w:eastAsia="cs-CZ"/>
        </w:rPr>
        <w:t xml:space="preserve">ásleduje </w:t>
      </w:r>
      <w:r w:rsidR="00CB56BD">
        <w:rPr>
          <w:rFonts w:ascii="Arial" w:hAnsi="Arial" w:cs="Arial"/>
          <w:lang w:eastAsia="cs-CZ"/>
        </w:rPr>
        <w:t xml:space="preserve">Skanska Reality, </w:t>
      </w:r>
      <w:proofErr w:type="spellStart"/>
      <w:r w:rsidR="00CB56BD">
        <w:rPr>
          <w:rFonts w:ascii="Arial" w:hAnsi="Arial" w:cs="Arial"/>
          <w:lang w:eastAsia="cs-CZ"/>
        </w:rPr>
        <w:t>Daramis</w:t>
      </w:r>
      <w:proofErr w:type="spellEnd"/>
      <w:r w:rsidR="00CB56BD">
        <w:rPr>
          <w:rFonts w:ascii="Arial" w:hAnsi="Arial" w:cs="Arial"/>
          <w:lang w:eastAsia="cs-CZ"/>
        </w:rPr>
        <w:t xml:space="preserve"> a YIT.</w:t>
      </w:r>
      <w:r w:rsidR="00CB56BD" w:rsidRPr="006D26FA">
        <w:rPr>
          <w:rFonts w:ascii="Arial" w:hAnsi="Arial" w:cs="Arial"/>
          <w:lang w:eastAsia="cs-CZ"/>
        </w:rPr>
        <w:t xml:space="preserve"> </w:t>
      </w:r>
      <w:r w:rsidR="00CB56BD">
        <w:rPr>
          <w:rFonts w:ascii="Arial" w:hAnsi="Arial" w:cs="Arial"/>
          <w:lang w:eastAsia="cs-CZ"/>
        </w:rPr>
        <w:t xml:space="preserve">Celkem bylo v Praze </w:t>
      </w:r>
      <w:proofErr w:type="gramStart"/>
      <w:r w:rsidR="00CB56BD">
        <w:rPr>
          <w:rFonts w:ascii="Arial" w:hAnsi="Arial" w:cs="Arial"/>
          <w:lang w:eastAsia="cs-CZ"/>
        </w:rPr>
        <w:t>ze</w:t>
      </w:r>
      <w:proofErr w:type="gramEnd"/>
      <w:r w:rsidR="00CB56BD">
        <w:rPr>
          <w:rFonts w:ascii="Arial" w:hAnsi="Arial" w:cs="Arial"/>
          <w:lang w:eastAsia="cs-CZ"/>
        </w:rPr>
        <w:t xml:space="preserve"> </w:t>
      </w:r>
      <w:r w:rsidR="007B2F43">
        <w:rPr>
          <w:rFonts w:ascii="Arial" w:hAnsi="Arial" w:cs="Arial"/>
          <w:lang w:eastAsia="cs-CZ"/>
        </w:rPr>
        <w:t xml:space="preserve">rok </w:t>
      </w:r>
      <w:proofErr w:type="gramStart"/>
      <w:r w:rsidR="007B2F43">
        <w:rPr>
          <w:rFonts w:ascii="Arial" w:hAnsi="Arial" w:cs="Arial"/>
          <w:lang w:eastAsia="cs-CZ"/>
        </w:rPr>
        <w:t>2016</w:t>
      </w:r>
      <w:proofErr w:type="gramEnd"/>
      <w:r w:rsidR="007B2F43">
        <w:rPr>
          <w:rFonts w:ascii="Arial" w:hAnsi="Arial" w:cs="Arial"/>
          <w:lang w:eastAsia="cs-CZ"/>
        </w:rPr>
        <w:t xml:space="preserve"> </w:t>
      </w:r>
      <w:r w:rsidR="00CB56BD">
        <w:rPr>
          <w:rFonts w:ascii="Arial" w:hAnsi="Arial" w:cs="Arial"/>
          <w:lang w:eastAsia="cs-CZ"/>
        </w:rPr>
        <w:t xml:space="preserve">prodáno </w:t>
      </w:r>
      <w:r w:rsidR="007B2F43">
        <w:rPr>
          <w:rFonts w:ascii="Arial" w:hAnsi="Arial" w:cs="Arial"/>
          <w:lang w:eastAsia="cs-CZ"/>
        </w:rPr>
        <w:t>6</w:t>
      </w:r>
      <w:r w:rsidR="00E56FDE">
        <w:rPr>
          <w:rFonts w:ascii="Arial" w:hAnsi="Arial" w:cs="Arial"/>
          <w:lang w:eastAsia="cs-CZ"/>
        </w:rPr>
        <w:t>6</w:t>
      </w:r>
      <w:r w:rsidR="007B2F43">
        <w:rPr>
          <w:rFonts w:ascii="Arial" w:hAnsi="Arial" w:cs="Arial"/>
          <w:lang w:eastAsia="cs-CZ"/>
        </w:rPr>
        <w:t>5</w:t>
      </w:r>
      <w:r w:rsidR="00CB56BD">
        <w:rPr>
          <w:rFonts w:ascii="Arial" w:hAnsi="Arial" w:cs="Arial"/>
          <w:lang w:eastAsia="cs-CZ"/>
        </w:rPr>
        <w:t xml:space="preserve">0 bytů s vydaným územním rozhodnutím. </w:t>
      </w:r>
    </w:p>
    <w:p w:rsidR="00CB56BD" w:rsidRDefault="00CB56BD" w:rsidP="00CB56BD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52137F" w:rsidRDefault="00E56FDE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Nabídka developerů se ale za stejnou dobu ztenčila. Z 5500 bytů na začátku roku 2016 jich na konci roku byly jen necelé 4000. Nedostatečná nabídka vedla k razantnímu zvýšení cen, v průběhu loňského roku o 19,5 procenta. Až tři čtvrtiny bytů v nabídce tak spadají do vyšší cenové hladiny s cenami nad 60.000 Kč za m2. </w:t>
      </w:r>
      <w:r w:rsidR="0052137F">
        <w:rPr>
          <w:rFonts w:ascii="Arial" w:hAnsi="Arial" w:cs="Arial"/>
          <w:lang w:eastAsia="cs-CZ"/>
        </w:rPr>
        <w:t xml:space="preserve">Pro střední třídu </w:t>
      </w:r>
      <w:r w:rsidR="00137D21">
        <w:rPr>
          <w:rFonts w:ascii="Arial" w:hAnsi="Arial" w:cs="Arial"/>
          <w:lang w:eastAsia="cs-CZ"/>
        </w:rPr>
        <w:t xml:space="preserve">je tak </w:t>
      </w:r>
      <w:r w:rsidR="0052137F">
        <w:rPr>
          <w:rFonts w:ascii="Arial" w:hAnsi="Arial" w:cs="Arial"/>
          <w:lang w:eastAsia="cs-CZ"/>
        </w:rPr>
        <w:t>r</w:t>
      </w:r>
      <w:r w:rsidR="00137D21">
        <w:rPr>
          <w:rFonts w:ascii="Arial" w:hAnsi="Arial" w:cs="Arial"/>
          <w:lang w:eastAsia="cs-CZ"/>
        </w:rPr>
        <w:t xml:space="preserve">eálně cenově dostupná </w:t>
      </w:r>
      <w:r>
        <w:rPr>
          <w:rFonts w:ascii="Arial" w:hAnsi="Arial" w:cs="Arial"/>
          <w:lang w:eastAsia="cs-CZ"/>
        </w:rPr>
        <w:t>jen asi tisícovka bytů.</w:t>
      </w:r>
      <w:r w:rsidR="0052137F">
        <w:rPr>
          <w:rFonts w:ascii="Arial" w:hAnsi="Arial" w:cs="Arial"/>
          <w:lang w:eastAsia="cs-CZ"/>
        </w:rPr>
        <w:t xml:space="preserve"> </w:t>
      </w:r>
    </w:p>
    <w:p w:rsidR="0052137F" w:rsidRDefault="0052137F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C67C8C" w:rsidRDefault="00774E57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Není přitom vinou developerů, že je nabídka bytů tak omezená. Podle analýzy připravovaných projektů, kterou provedla společnost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Group, </w:t>
      </w:r>
      <w:r w:rsidR="0052137F">
        <w:rPr>
          <w:rFonts w:ascii="Arial" w:hAnsi="Arial" w:cs="Arial"/>
          <w:lang w:eastAsia="cs-CZ"/>
        </w:rPr>
        <w:t xml:space="preserve">mají pražští developeři v přípravě celkem asi 70 tisíc nových bytů. </w:t>
      </w:r>
      <w:r w:rsidR="0052137F" w:rsidRPr="0052137F">
        <w:rPr>
          <w:rFonts w:ascii="Arial" w:hAnsi="Arial" w:cs="Arial"/>
          <w:lang w:eastAsia="cs-CZ"/>
        </w:rPr>
        <w:t>Jen zhruba 23.500 se jich ale může začít stavět zhruba do pěti let.</w:t>
      </w:r>
      <w:r w:rsidR="0052137F">
        <w:rPr>
          <w:rFonts w:ascii="Arial" w:hAnsi="Arial" w:cs="Arial"/>
          <w:lang w:eastAsia="cs-CZ"/>
        </w:rPr>
        <w:t xml:space="preserve"> Problémem je velmi dlouhý schvalovací proces, který nás podle údajů Světové banky řadí na 130. místo ze 190 zemí.</w:t>
      </w:r>
    </w:p>
    <w:p w:rsidR="00E56FDE" w:rsidRDefault="00E56FDE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E56FDE" w:rsidRDefault="00E56FDE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E56FDE" w:rsidRDefault="00E56FDE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0854B7" w:rsidRDefault="000854B7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E0C65" w:rsidRDefault="00FE0C6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31761C" w:rsidRDefault="0031761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bookmarkStart w:id="0" w:name="_GoBack"/>
      <w:bookmarkEnd w:id="0"/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FE580C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5E05FE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5E05FE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697086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EB" w:rsidRDefault="005B0EEB" w:rsidP="00655B14">
      <w:pPr>
        <w:spacing w:after="0" w:line="240" w:lineRule="auto"/>
      </w:pPr>
      <w:r>
        <w:separator/>
      </w:r>
    </w:p>
  </w:endnote>
  <w:endnote w:type="continuationSeparator" w:id="0">
    <w:p w:rsidR="005B0EEB" w:rsidRDefault="005B0EEB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EB" w:rsidRDefault="005B0EEB" w:rsidP="00655B14">
      <w:pPr>
        <w:spacing w:after="0" w:line="240" w:lineRule="auto"/>
      </w:pPr>
      <w:r>
        <w:separator/>
      </w:r>
    </w:p>
  </w:footnote>
  <w:footnote w:type="continuationSeparator" w:id="0">
    <w:p w:rsidR="005B0EEB" w:rsidRDefault="005B0EEB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86ABF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B95572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9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AE40AB">
      <w:rPr>
        <w:color w:val="17365D"/>
        <w:sz w:val="30"/>
        <w:szCs w:val="30"/>
      </w:rPr>
      <w:t>3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7B2F43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4B7"/>
    <w:rsid w:val="00085F81"/>
    <w:rsid w:val="000865A5"/>
    <w:rsid w:val="00087826"/>
    <w:rsid w:val="00091E8A"/>
    <w:rsid w:val="000A0381"/>
    <w:rsid w:val="000A2C12"/>
    <w:rsid w:val="000A555C"/>
    <w:rsid w:val="000B1F3B"/>
    <w:rsid w:val="000B259C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0F7D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37D2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12DE"/>
    <w:rsid w:val="0021271C"/>
    <w:rsid w:val="00214B9A"/>
    <w:rsid w:val="0022029B"/>
    <w:rsid w:val="002321C8"/>
    <w:rsid w:val="00234852"/>
    <w:rsid w:val="00237A96"/>
    <w:rsid w:val="002442D9"/>
    <w:rsid w:val="00244FB9"/>
    <w:rsid w:val="00253B9A"/>
    <w:rsid w:val="002543C3"/>
    <w:rsid w:val="00255584"/>
    <w:rsid w:val="00261752"/>
    <w:rsid w:val="00265E94"/>
    <w:rsid w:val="00272534"/>
    <w:rsid w:val="002769EC"/>
    <w:rsid w:val="002802F5"/>
    <w:rsid w:val="00282554"/>
    <w:rsid w:val="00283463"/>
    <w:rsid w:val="0028544B"/>
    <w:rsid w:val="002910B2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1761C"/>
    <w:rsid w:val="00320B75"/>
    <w:rsid w:val="0032321E"/>
    <w:rsid w:val="00333809"/>
    <w:rsid w:val="003366AE"/>
    <w:rsid w:val="0034284D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2899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6D06"/>
    <w:rsid w:val="003E75A1"/>
    <w:rsid w:val="003F1BE3"/>
    <w:rsid w:val="003F4A3F"/>
    <w:rsid w:val="00404882"/>
    <w:rsid w:val="00404AE7"/>
    <w:rsid w:val="004065D6"/>
    <w:rsid w:val="00407C3A"/>
    <w:rsid w:val="00407D1B"/>
    <w:rsid w:val="0041092C"/>
    <w:rsid w:val="00411ECF"/>
    <w:rsid w:val="00412DAD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1830"/>
    <w:rsid w:val="004F4589"/>
    <w:rsid w:val="0050068F"/>
    <w:rsid w:val="005063E2"/>
    <w:rsid w:val="00506D83"/>
    <w:rsid w:val="00506E60"/>
    <w:rsid w:val="005071FB"/>
    <w:rsid w:val="00516528"/>
    <w:rsid w:val="005207A4"/>
    <w:rsid w:val="0052137F"/>
    <w:rsid w:val="005226E6"/>
    <w:rsid w:val="00522A3F"/>
    <w:rsid w:val="00525388"/>
    <w:rsid w:val="00525770"/>
    <w:rsid w:val="00526B27"/>
    <w:rsid w:val="00530881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477C0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0EEB"/>
    <w:rsid w:val="005B5C23"/>
    <w:rsid w:val="005B681C"/>
    <w:rsid w:val="005C4CF0"/>
    <w:rsid w:val="005C58EE"/>
    <w:rsid w:val="005C710A"/>
    <w:rsid w:val="005D029C"/>
    <w:rsid w:val="005E0538"/>
    <w:rsid w:val="005E05FE"/>
    <w:rsid w:val="005E2124"/>
    <w:rsid w:val="005F5002"/>
    <w:rsid w:val="005F730C"/>
    <w:rsid w:val="00605851"/>
    <w:rsid w:val="00605F5F"/>
    <w:rsid w:val="006113F4"/>
    <w:rsid w:val="0061229B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29C"/>
    <w:rsid w:val="006362FC"/>
    <w:rsid w:val="00646F68"/>
    <w:rsid w:val="006474BF"/>
    <w:rsid w:val="0065030F"/>
    <w:rsid w:val="00650B15"/>
    <w:rsid w:val="00651898"/>
    <w:rsid w:val="00651991"/>
    <w:rsid w:val="00654307"/>
    <w:rsid w:val="00654F88"/>
    <w:rsid w:val="00655B14"/>
    <w:rsid w:val="00661906"/>
    <w:rsid w:val="00663DF4"/>
    <w:rsid w:val="006650D5"/>
    <w:rsid w:val="00670D2D"/>
    <w:rsid w:val="0067733C"/>
    <w:rsid w:val="006832C4"/>
    <w:rsid w:val="00686D43"/>
    <w:rsid w:val="006927C2"/>
    <w:rsid w:val="006934FA"/>
    <w:rsid w:val="00693888"/>
    <w:rsid w:val="00697086"/>
    <w:rsid w:val="006A0377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26FA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799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4496"/>
    <w:rsid w:val="00755EC0"/>
    <w:rsid w:val="0075632D"/>
    <w:rsid w:val="0076032C"/>
    <w:rsid w:val="00761239"/>
    <w:rsid w:val="00762126"/>
    <w:rsid w:val="00766334"/>
    <w:rsid w:val="00766721"/>
    <w:rsid w:val="00774E57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2F43"/>
    <w:rsid w:val="007B31F2"/>
    <w:rsid w:val="007B3DA8"/>
    <w:rsid w:val="007B4B08"/>
    <w:rsid w:val="007B53F9"/>
    <w:rsid w:val="007B6A5C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B47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6E2E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5CEA"/>
    <w:rsid w:val="008B7191"/>
    <w:rsid w:val="008C39D0"/>
    <w:rsid w:val="008C749F"/>
    <w:rsid w:val="008D19FA"/>
    <w:rsid w:val="008D3BCA"/>
    <w:rsid w:val="008D48D6"/>
    <w:rsid w:val="008D59B4"/>
    <w:rsid w:val="008D7476"/>
    <w:rsid w:val="008E028E"/>
    <w:rsid w:val="008E2D03"/>
    <w:rsid w:val="008E5D7B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6B2D"/>
    <w:rsid w:val="00937B27"/>
    <w:rsid w:val="0094452B"/>
    <w:rsid w:val="0094738D"/>
    <w:rsid w:val="00947B21"/>
    <w:rsid w:val="00951E2C"/>
    <w:rsid w:val="00955050"/>
    <w:rsid w:val="0095787C"/>
    <w:rsid w:val="00961E63"/>
    <w:rsid w:val="00964433"/>
    <w:rsid w:val="009653E0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33DF8"/>
    <w:rsid w:val="00A4200A"/>
    <w:rsid w:val="00A45E8F"/>
    <w:rsid w:val="00A47361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1FD7"/>
    <w:rsid w:val="00A829ED"/>
    <w:rsid w:val="00A8573C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4EE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0AB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377B2"/>
    <w:rsid w:val="00B41391"/>
    <w:rsid w:val="00B4172D"/>
    <w:rsid w:val="00B538CF"/>
    <w:rsid w:val="00B55313"/>
    <w:rsid w:val="00B559AD"/>
    <w:rsid w:val="00B60727"/>
    <w:rsid w:val="00B619C7"/>
    <w:rsid w:val="00B67D94"/>
    <w:rsid w:val="00B700EF"/>
    <w:rsid w:val="00B7066A"/>
    <w:rsid w:val="00B71542"/>
    <w:rsid w:val="00B74A60"/>
    <w:rsid w:val="00B75BE8"/>
    <w:rsid w:val="00B824C4"/>
    <w:rsid w:val="00B85D8C"/>
    <w:rsid w:val="00B947A5"/>
    <w:rsid w:val="00B95572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089"/>
    <w:rsid w:val="00BE3A45"/>
    <w:rsid w:val="00BE46CF"/>
    <w:rsid w:val="00BE4D4B"/>
    <w:rsid w:val="00BE4E6E"/>
    <w:rsid w:val="00BF0746"/>
    <w:rsid w:val="00BF14CC"/>
    <w:rsid w:val="00BF658E"/>
    <w:rsid w:val="00BF6972"/>
    <w:rsid w:val="00C1041A"/>
    <w:rsid w:val="00C1171C"/>
    <w:rsid w:val="00C2110F"/>
    <w:rsid w:val="00C21837"/>
    <w:rsid w:val="00C311B7"/>
    <w:rsid w:val="00C3154B"/>
    <w:rsid w:val="00C3267B"/>
    <w:rsid w:val="00C3325A"/>
    <w:rsid w:val="00C33264"/>
    <w:rsid w:val="00C50A86"/>
    <w:rsid w:val="00C50EB7"/>
    <w:rsid w:val="00C51093"/>
    <w:rsid w:val="00C5699A"/>
    <w:rsid w:val="00C6039E"/>
    <w:rsid w:val="00C607A2"/>
    <w:rsid w:val="00C60C8C"/>
    <w:rsid w:val="00C621FC"/>
    <w:rsid w:val="00C67AEB"/>
    <w:rsid w:val="00C67C8C"/>
    <w:rsid w:val="00C70EE1"/>
    <w:rsid w:val="00C76C5C"/>
    <w:rsid w:val="00C802DC"/>
    <w:rsid w:val="00C80C4D"/>
    <w:rsid w:val="00C812FA"/>
    <w:rsid w:val="00C828CD"/>
    <w:rsid w:val="00C8572E"/>
    <w:rsid w:val="00C87246"/>
    <w:rsid w:val="00C948E3"/>
    <w:rsid w:val="00C964AD"/>
    <w:rsid w:val="00C97FF5"/>
    <w:rsid w:val="00CA353C"/>
    <w:rsid w:val="00CA489A"/>
    <w:rsid w:val="00CA4B80"/>
    <w:rsid w:val="00CA6D83"/>
    <w:rsid w:val="00CB4608"/>
    <w:rsid w:val="00CB56BD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41D7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2163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2D3"/>
    <w:rsid w:val="00DE63CF"/>
    <w:rsid w:val="00DE7F8E"/>
    <w:rsid w:val="00DF0757"/>
    <w:rsid w:val="00DF09F9"/>
    <w:rsid w:val="00DF157C"/>
    <w:rsid w:val="00DF261B"/>
    <w:rsid w:val="00DF3B22"/>
    <w:rsid w:val="00DF4E13"/>
    <w:rsid w:val="00DF77B2"/>
    <w:rsid w:val="00DF7FC6"/>
    <w:rsid w:val="00E033EE"/>
    <w:rsid w:val="00E03EA9"/>
    <w:rsid w:val="00E070FB"/>
    <w:rsid w:val="00E07F03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56FDE"/>
    <w:rsid w:val="00E652A9"/>
    <w:rsid w:val="00E672CE"/>
    <w:rsid w:val="00E6746A"/>
    <w:rsid w:val="00E73377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6EE8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8C2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2F02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4A8A"/>
    <w:rsid w:val="00F619C8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BB1"/>
    <w:rsid w:val="00FC4547"/>
    <w:rsid w:val="00FD23C2"/>
    <w:rsid w:val="00FD38F9"/>
    <w:rsid w:val="00FD40F0"/>
    <w:rsid w:val="00FD52E9"/>
    <w:rsid w:val="00FD6FDD"/>
    <w:rsid w:val="00FD7ED7"/>
    <w:rsid w:val="00FE0C65"/>
    <w:rsid w:val="00FE580C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ED38-2AE4-4107-8269-585AC2B9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881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21</cp:revision>
  <cp:lastPrinted>2017-03-07T12:59:00Z</cp:lastPrinted>
  <dcterms:created xsi:type="dcterms:W3CDTF">2016-11-07T16:21:00Z</dcterms:created>
  <dcterms:modified xsi:type="dcterms:W3CDTF">2017-03-09T10:14:00Z</dcterms:modified>
</cp:coreProperties>
</file>