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E" w:rsidRPr="001069E5" w:rsidRDefault="008B3A6E" w:rsidP="008B3A6E">
      <w:pPr>
        <w:spacing w:after="0"/>
        <w:rPr>
          <w:rFonts w:ascii="Arial Black" w:hAnsi="Arial Black"/>
          <w:color w:val="000000" w:themeColor="text1"/>
          <w:sz w:val="31"/>
          <w:szCs w:val="31"/>
        </w:rPr>
      </w:pPr>
      <w:r w:rsidRPr="001069E5">
        <w:rPr>
          <w:rFonts w:ascii="Arial Black" w:hAnsi="Arial Black"/>
          <w:color w:val="000000" w:themeColor="text1"/>
          <w:sz w:val="31"/>
          <w:szCs w:val="31"/>
        </w:rPr>
        <w:t xml:space="preserve">CENTRAL GROUP </w:t>
      </w:r>
      <w:r>
        <w:rPr>
          <w:rFonts w:ascii="Arial Black" w:hAnsi="Arial Black"/>
          <w:color w:val="000000" w:themeColor="text1"/>
          <w:sz w:val="31"/>
          <w:szCs w:val="31"/>
        </w:rPr>
        <w:t>koupil pozemky na metru Střížkov</w:t>
      </w:r>
      <w:r w:rsidR="007817E8">
        <w:rPr>
          <w:rFonts w:ascii="Arial Black" w:hAnsi="Arial Black"/>
          <w:color w:val="000000" w:themeColor="text1"/>
          <w:sz w:val="31"/>
          <w:szCs w:val="31"/>
        </w:rPr>
        <w:t xml:space="preserve"> a na hranici Ďáblic</w:t>
      </w:r>
      <w:r>
        <w:rPr>
          <w:rFonts w:ascii="Arial Black" w:hAnsi="Arial Black"/>
          <w:color w:val="000000" w:themeColor="text1"/>
          <w:sz w:val="31"/>
          <w:szCs w:val="31"/>
        </w:rPr>
        <w:t xml:space="preserve">, </w:t>
      </w:r>
      <w:r w:rsidR="00692068">
        <w:rPr>
          <w:rFonts w:ascii="Arial Black" w:hAnsi="Arial Black"/>
          <w:color w:val="000000" w:themeColor="text1"/>
          <w:sz w:val="31"/>
          <w:szCs w:val="31"/>
        </w:rPr>
        <w:t xml:space="preserve">plánuje </w:t>
      </w:r>
      <w:r w:rsidR="002F235F">
        <w:rPr>
          <w:rFonts w:ascii="Arial Black" w:hAnsi="Arial Black"/>
          <w:color w:val="000000" w:themeColor="text1"/>
          <w:sz w:val="31"/>
          <w:szCs w:val="31"/>
        </w:rPr>
        <w:t xml:space="preserve">zde </w:t>
      </w:r>
      <w:r w:rsidR="00692068">
        <w:rPr>
          <w:rFonts w:ascii="Arial Black" w:hAnsi="Arial Black"/>
          <w:color w:val="000000" w:themeColor="text1"/>
          <w:sz w:val="31"/>
          <w:szCs w:val="31"/>
        </w:rPr>
        <w:t>postavit přes 200</w:t>
      </w:r>
      <w:r>
        <w:rPr>
          <w:rFonts w:ascii="Arial Black" w:hAnsi="Arial Black"/>
          <w:color w:val="000000" w:themeColor="text1"/>
          <w:sz w:val="31"/>
          <w:szCs w:val="31"/>
        </w:rPr>
        <w:t xml:space="preserve"> bytů</w:t>
      </w:r>
    </w:p>
    <w:p w:rsidR="008B3A6E" w:rsidRPr="008B3A6E" w:rsidRDefault="008B3A6E" w:rsidP="008B3A6E">
      <w:pPr>
        <w:spacing w:after="0" w:line="264" w:lineRule="auto"/>
        <w:rPr>
          <w:rFonts w:ascii="Arial Black" w:hAnsi="Arial Black"/>
          <w:color w:val="000000" w:themeColor="text1"/>
        </w:rPr>
      </w:pPr>
    </w:p>
    <w:p w:rsidR="008B3A6E" w:rsidRDefault="005F5F81" w:rsidP="008B3A6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18</w:t>
      </w:r>
      <w:r w:rsidR="008B3A6E" w:rsidRPr="008B3A6E">
        <w:rPr>
          <w:rFonts w:ascii="Arial" w:hAnsi="Arial" w:cs="Arial"/>
          <w:i/>
          <w:lang w:eastAsia="cs-CZ"/>
        </w:rPr>
        <w:t xml:space="preserve">. 11. 2015, Praha – </w:t>
      </w:r>
      <w:r w:rsidR="008B3A6E" w:rsidRPr="008B3A6E">
        <w:rPr>
          <w:rFonts w:ascii="Arial" w:hAnsi="Arial" w:cs="Arial"/>
          <w:b/>
          <w:lang w:eastAsia="cs-CZ"/>
        </w:rPr>
        <w:t>Největší český rezidenční developer a investor nové bytové výstavby CENTRAL GROUP při</w:t>
      </w:r>
      <w:r w:rsidR="005250C7">
        <w:rPr>
          <w:rFonts w:ascii="Arial" w:hAnsi="Arial" w:cs="Arial"/>
          <w:b/>
          <w:lang w:eastAsia="cs-CZ"/>
        </w:rPr>
        <w:t>chází po necelém týdnu</w:t>
      </w:r>
      <w:r w:rsidR="008B3A6E" w:rsidRPr="008B3A6E">
        <w:rPr>
          <w:rFonts w:ascii="Arial" w:hAnsi="Arial" w:cs="Arial"/>
          <w:b/>
          <w:lang w:eastAsia="cs-CZ"/>
        </w:rPr>
        <w:t xml:space="preserve"> s dalšími akvizicemi. </w:t>
      </w:r>
      <w:r w:rsidR="00692068">
        <w:rPr>
          <w:rFonts w:ascii="Arial" w:hAnsi="Arial" w:cs="Arial"/>
          <w:b/>
          <w:lang w:eastAsia="cs-CZ"/>
        </w:rPr>
        <w:t>Koupil nové</w:t>
      </w:r>
      <w:r w:rsidR="008B3A6E" w:rsidRPr="008B3A6E">
        <w:rPr>
          <w:rFonts w:ascii="Arial" w:hAnsi="Arial" w:cs="Arial"/>
          <w:b/>
          <w:lang w:eastAsia="cs-CZ"/>
        </w:rPr>
        <w:t xml:space="preserve"> pozemky v Praze v blízkosti stanice metra Střížkov. </w:t>
      </w:r>
      <w:r w:rsidR="00CF0B69">
        <w:rPr>
          <w:rFonts w:ascii="Arial" w:hAnsi="Arial" w:cs="Arial"/>
          <w:b/>
          <w:lang w:eastAsia="cs-CZ"/>
        </w:rPr>
        <w:t>P</w:t>
      </w:r>
      <w:r w:rsidR="008B3A6E" w:rsidRPr="008B3A6E">
        <w:rPr>
          <w:rFonts w:ascii="Arial" w:hAnsi="Arial" w:cs="Arial"/>
          <w:b/>
          <w:lang w:eastAsia="cs-CZ"/>
        </w:rPr>
        <w:t xml:space="preserve">lánuje </w:t>
      </w:r>
      <w:r w:rsidR="00CF0B69">
        <w:rPr>
          <w:rFonts w:ascii="Arial" w:hAnsi="Arial" w:cs="Arial"/>
          <w:b/>
          <w:lang w:eastAsia="cs-CZ"/>
        </w:rPr>
        <w:t xml:space="preserve">zde </w:t>
      </w:r>
      <w:r w:rsidR="008B3A6E" w:rsidRPr="008B3A6E">
        <w:rPr>
          <w:rFonts w:ascii="Arial" w:hAnsi="Arial" w:cs="Arial"/>
          <w:b/>
          <w:lang w:eastAsia="cs-CZ"/>
        </w:rPr>
        <w:t>postavit bytové domy s</w:t>
      </w:r>
      <w:r w:rsidR="00CE044C">
        <w:rPr>
          <w:rFonts w:ascii="Arial" w:hAnsi="Arial" w:cs="Arial"/>
          <w:b/>
          <w:lang w:eastAsia="cs-CZ"/>
        </w:rPr>
        <w:t> více než</w:t>
      </w:r>
      <w:r w:rsidR="008B3A6E" w:rsidRPr="008B3A6E">
        <w:rPr>
          <w:rFonts w:ascii="Arial" w:hAnsi="Arial" w:cs="Arial"/>
          <w:b/>
          <w:lang w:eastAsia="cs-CZ"/>
        </w:rPr>
        <w:t xml:space="preserve"> </w:t>
      </w:r>
      <w:r w:rsidR="00692068">
        <w:rPr>
          <w:rFonts w:ascii="Arial" w:hAnsi="Arial" w:cs="Arial"/>
          <w:b/>
          <w:lang w:eastAsia="cs-CZ"/>
        </w:rPr>
        <w:t>200</w:t>
      </w:r>
      <w:r w:rsidR="008B3A6E" w:rsidRPr="008B3A6E">
        <w:rPr>
          <w:rFonts w:ascii="Arial" w:hAnsi="Arial" w:cs="Arial"/>
          <w:b/>
          <w:lang w:eastAsia="cs-CZ"/>
        </w:rPr>
        <w:t xml:space="preserve"> byty</w:t>
      </w:r>
      <w:r w:rsidR="00692068">
        <w:rPr>
          <w:rFonts w:ascii="Arial" w:hAnsi="Arial" w:cs="Arial"/>
          <w:b/>
          <w:lang w:eastAsia="cs-CZ"/>
        </w:rPr>
        <w:t xml:space="preserve">. </w:t>
      </w:r>
    </w:p>
    <w:p w:rsidR="00692068" w:rsidRPr="008B3A6E" w:rsidRDefault="00692068" w:rsidP="008B3A6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DD256E" w:rsidRDefault="008B3A6E" w:rsidP="008B3A6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B3A6E">
        <w:rPr>
          <w:rFonts w:ascii="Arial" w:hAnsi="Arial" w:cs="Arial"/>
          <w:lang w:eastAsia="cs-CZ"/>
        </w:rPr>
        <w:t xml:space="preserve">První z dvojice pozemků se nachází přímo </w:t>
      </w:r>
      <w:r w:rsidR="00692068">
        <w:rPr>
          <w:rFonts w:ascii="Arial" w:hAnsi="Arial" w:cs="Arial"/>
          <w:lang w:eastAsia="cs-CZ"/>
        </w:rPr>
        <w:t>u</w:t>
      </w:r>
      <w:r w:rsidRPr="008B3A6E">
        <w:rPr>
          <w:rFonts w:ascii="Arial" w:hAnsi="Arial" w:cs="Arial"/>
          <w:lang w:eastAsia="cs-CZ"/>
        </w:rPr>
        <w:t xml:space="preserve"> stanic</w:t>
      </w:r>
      <w:r w:rsidR="00692068">
        <w:rPr>
          <w:rFonts w:ascii="Arial" w:hAnsi="Arial" w:cs="Arial"/>
          <w:lang w:eastAsia="cs-CZ"/>
        </w:rPr>
        <w:t>e</w:t>
      </w:r>
      <w:r w:rsidRPr="008B3A6E">
        <w:rPr>
          <w:rFonts w:ascii="Arial" w:hAnsi="Arial" w:cs="Arial"/>
          <w:lang w:eastAsia="cs-CZ"/>
        </w:rPr>
        <w:t xml:space="preserve"> metra Střížkov na rohu ulic Vysočanská a Lovosická</w:t>
      </w:r>
      <w:r w:rsidR="005250C7">
        <w:rPr>
          <w:rFonts w:ascii="Arial" w:hAnsi="Arial" w:cs="Arial"/>
          <w:lang w:eastAsia="cs-CZ"/>
        </w:rPr>
        <w:t xml:space="preserve"> v Praze 9</w:t>
      </w:r>
      <w:r w:rsidRPr="008B3A6E">
        <w:rPr>
          <w:rFonts w:ascii="Arial" w:hAnsi="Arial" w:cs="Arial"/>
          <w:lang w:eastAsia="cs-CZ"/>
        </w:rPr>
        <w:t xml:space="preserve">. </w:t>
      </w:r>
      <w:r w:rsidR="00692068">
        <w:rPr>
          <w:rFonts w:ascii="Arial" w:hAnsi="Arial" w:cs="Arial"/>
          <w:lang w:eastAsia="cs-CZ"/>
        </w:rPr>
        <w:t>Na pozemku o výměře 9000 m</w:t>
      </w:r>
      <w:r w:rsidR="007817E8" w:rsidRPr="007817E8">
        <w:rPr>
          <w:rFonts w:ascii="Arial" w:hAnsi="Arial" w:cs="Arial"/>
          <w:vertAlign w:val="superscript"/>
          <w:lang w:eastAsia="cs-CZ"/>
        </w:rPr>
        <w:t>2</w:t>
      </w:r>
      <w:r w:rsidRPr="008B3A6E">
        <w:rPr>
          <w:rFonts w:ascii="Arial" w:hAnsi="Arial" w:cs="Arial"/>
          <w:lang w:eastAsia="cs-CZ"/>
        </w:rPr>
        <w:t xml:space="preserve"> chce firma postavit </w:t>
      </w:r>
      <w:r w:rsidR="005250C7">
        <w:rPr>
          <w:rFonts w:ascii="Arial" w:hAnsi="Arial" w:cs="Arial"/>
          <w:lang w:eastAsia="cs-CZ"/>
        </w:rPr>
        <w:t xml:space="preserve">zhruba </w:t>
      </w:r>
      <w:r w:rsidR="00692068">
        <w:rPr>
          <w:rFonts w:ascii="Arial" w:hAnsi="Arial" w:cs="Arial"/>
          <w:lang w:eastAsia="cs-CZ"/>
        </w:rPr>
        <w:t>130 bytů. Pozemek přímo sousedí s poliklinikou, v</w:t>
      </w:r>
      <w:r w:rsidR="00DD256E">
        <w:rPr>
          <w:rFonts w:ascii="Arial" w:hAnsi="Arial" w:cs="Arial"/>
          <w:lang w:eastAsia="cs-CZ"/>
        </w:rPr>
        <w:t xml:space="preserve"> docházkové vzdálenosti je veškerá občanská vybavenost, blízko se nachází obchodně-zábavní centrum Letňany s aquaparkem. Relaxaci může sloužit blízký Park Přátelství. </w:t>
      </w:r>
    </w:p>
    <w:p w:rsidR="00CF0B69" w:rsidRDefault="00CF0B69" w:rsidP="008B3A6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B3A6E" w:rsidRPr="008B3A6E" w:rsidRDefault="008B3A6E" w:rsidP="008B3A6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B3A6E">
        <w:rPr>
          <w:rFonts w:ascii="Arial" w:hAnsi="Arial" w:cs="Arial"/>
          <w:lang w:eastAsia="cs-CZ"/>
        </w:rPr>
        <w:t>Druhý pozem</w:t>
      </w:r>
      <w:r w:rsidR="002B16DC">
        <w:rPr>
          <w:rFonts w:ascii="Arial" w:hAnsi="Arial" w:cs="Arial"/>
          <w:lang w:eastAsia="cs-CZ"/>
        </w:rPr>
        <w:t>e</w:t>
      </w:r>
      <w:r w:rsidRPr="008B3A6E">
        <w:rPr>
          <w:rFonts w:ascii="Arial" w:hAnsi="Arial" w:cs="Arial"/>
          <w:lang w:eastAsia="cs-CZ"/>
        </w:rPr>
        <w:t>k</w:t>
      </w:r>
      <w:r w:rsidR="00CE044C">
        <w:rPr>
          <w:rFonts w:ascii="Arial" w:hAnsi="Arial" w:cs="Arial"/>
          <w:lang w:eastAsia="cs-CZ"/>
        </w:rPr>
        <w:t xml:space="preserve"> v</w:t>
      </w:r>
      <w:r w:rsidR="007817E8">
        <w:rPr>
          <w:rFonts w:ascii="Arial" w:hAnsi="Arial" w:cs="Arial"/>
          <w:lang w:eastAsia="cs-CZ"/>
        </w:rPr>
        <w:t xml:space="preserve"> Praze 8 na rozhraní Střížkova a </w:t>
      </w:r>
      <w:r w:rsidR="002B16DC">
        <w:rPr>
          <w:rFonts w:ascii="Arial" w:hAnsi="Arial" w:cs="Arial"/>
          <w:lang w:eastAsia="cs-CZ"/>
        </w:rPr>
        <w:t>Ďáblic,</w:t>
      </w:r>
      <w:r w:rsidRPr="008B3A6E">
        <w:rPr>
          <w:rFonts w:ascii="Arial" w:hAnsi="Arial" w:cs="Arial"/>
          <w:lang w:eastAsia="cs-CZ"/>
        </w:rPr>
        <w:t xml:space="preserve"> je od metra vzdálen vzdušnou čarou asi 700 metrů. Nachází se na rohu ulic Bešťákova a Roudnická</w:t>
      </w:r>
      <w:r w:rsidR="005250C7">
        <w:rPr>
          <w:rFonts w:ascii="Arial" w:hAnsi="Arial" w:cs="Arial"/>
          <w:lang w:eastAsia="cs-CZ"/>
        </w:rPr>
        <w:t xml:space="preserve"> </w:t>
      </w:r>
      <w:r w:rsidRPr="008B3A6E">
        <w:rPr>
          <w:rFonts w:ascii="Arial" w:hAnsi="Arial" w:cs="Arial"/>
          <w:lang w:eastAsia="cs-CZ"/>
        </w:rPr>
        <w:t xml:space="preserve">a přímo naváže na sídliště Ďáblice, které je zasazeno do zeleně. </w:t>
      </w:r>
      <w:r w:rsidR="00DD256E">
        <w:rPr>
          <w:rFonts w:ascii="Arial" w:hAnsi="Arial" w:cs="Arial"/>
          <w:lang w:eastAsia="cs-CZ"/>
        </w:rPr>
        <w:t>Z</w:t>
      </w:r>
      <w:r w:rsidRPr="008B3A6E">
        <w:rPr>
          <w:rFonts w:ascii="Arial" w:hAnsi="Arial" w:cs="Arial"/>
          <w:lang w:eastAsia="cs-CZ"/>
        </w:rPr>
        <w:t xml:space="preserve"> druhé stran</w:t>
      </w:r>
      <w:r w:rsidR="00DD256E">
        <w:rPr>
          <w:rFonts w:ascii="Arial" w:hAnsi="Arial" w:cs="Arial"/>
          <w:lang w:eastAsia="cs-CZ"/>
        </w:rPr>
        <w:t>y</w:t>
      </w:r>
      <w:r w:rsidRPr="008B3A6E">
        <w:rPr>
          <w:rFonts w:ascii="Arial" w:hAnsi="Arial" w:cs="Arial"/>
          <w:lang w:eastAsia="cs-CZ"/>
        </w:rPr>
        <w:t xml:space="preserve"> pozemek nabídne výhledy do krajiny. </w:t>
      </w:r>
      <w:r w:rsidR="007817E8">
        <w:rPr>
          <w:rFonts w:ascii="Arial" w:hAnsi="Arial" w:cs="Arial"/>
          <w:lang w:eastAsia="cs-CZ"/>
        </w:rPr>
        <w:t xml:space="preserve">Výhodou je i </w:t>
      </w:r>
      <w:r w:rsidR="001776D1">
        <w:rPr>
          <w:rFonts w:ascii="Arial" w:hAnsi="Arial" w:cs="Arial"/>
          <w:lang w:eastAsia="cs-CZ"/>
        </w:rPr>
        <w:t>blízká stanice</w:t>
      </w:r>
      <w:r w:rsidR="007817E8">
        <w:rPr>
          <w:rFonts w:ascii="Arial" w:hAnsi="Arial" w:cs="Arial"/>
          <w:lang w:eastAsia="cs-CZ"/>
        </w:rPr>
        <w:t xml:space="preserve"> tramvaje s přímým spojením na metro i do centra Prahy. </w:t>
      </w:r>
      <w:r w:rsidR="00CF0B69">
        <w:rPr>
          <w:rFonts w:ascii="Arial" w:hAnsi="Arial" w:cs="Arial"/>
          <w:lang w:eastAsia="cs-CZ"/>
        </w:rPr>
        <w:t xml:space="preserve">CENTRAL GROUP </w:t>
      </w:r>
      <w:r w:rsidR="00DD256E">
        <w:rPr>
          <w:rFonts w:ascii="Arial" w:hAnsi="Arial" w:cs="Arial"/>
          <w:lang w:eastAsia="cs-CZ"/>
        </w:rPr>
        <w:t>na pozem</w:t>
      </w:r>
      <w:r w:rsidR="005250C7">
        <w:rPr>
          <w:rFonts w:ascii="Arial" w:hAnsi="Arial" w:cs="Arial"/>
          <w:lang w:eastAsia="cs-CZ"/>
        </w:rPr>
        <w:t>cích</w:t>
      </w:r>
      <w:r w:rsidR="00DD256E">
        <w:rPr>
          <w:rFonts w:ascii="Arial" w:hAnsi="Arial" w:cs="Arial"/>
          <w:lang w:eastAsia="cs-CZ"/>
        </w:rPr>
        <w:t xml:space="preserve"> o výměře 19.000 m</w:t>
      </w:r>
      <w:r w:rsidR="00DD256E" w:rsidRPr="007817E8">
        <w:rPr>
          <w:rFonts w:ascii="Arial" w:hAnsi="Arial" w:cs="Arial"/>
          <w:vertAlign w:val="superscript"/>
          <w:lang w:eastAsia="cs-CZ"/>
        </w:rPr>
        <w:t>2</w:t>
      </w:r>
      <w:r w:rsidRPr="008B3A6E">
        <w:rPr>
          <w:rFonts w:ascii="Arial" w:hAnsi="Arial" w:cs="Arial"/>
          <w:lang w:eastAsia="cs-CZ"/>
        </w:rPr>
        <w:t xml:space="preserve"> plánuje </w:t>
      </w:r>
      <w:r w:rsidR="005250C7">
        <w:rPr>
          <w:rFonts w:ascii="Arial" w:hAnsi="Arial" w:cs="Arial"/>
          <w:lang w:eastAsia="cs-CZ"/>
        </w:rPr>
        <w:t>zhruba stovku</w:t>
      </w:r>
      <w:r w:rsidR="00DD256E">
        <w:rPr>
          <w:rFonts w:ascii="Arial" w:hAnsi="Arial" w:cs="Arial"/>
          <w:lang w:eastAsia="cs-CZ"/>
        </w:rPr>
        <w:t xml:space="preserve"> bytů</w:t>
      </w:r>
      <w:r w:rsidRPr="008B3A6E">
        <w:rPr>
          <w:rFonts w:ascii="Arial" w:hAnsi="Arial" w:cs="Arial"/>
          <w:lang w:eastAsia="cs-CZ"/>
        </w:rPr>
        <w:t>.</w:t>
      </w:r>
    </w:p>
    <w:p w:rsidR="008B3A6E" w:rsidRPr="008B3A6E" w:rsidRDefault="008B3A6E" w:rsidP="008B3A6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B3A6E" w:rsidRPr="008B3A6E" w:rsidRDefault="008B3A6E" w:rsidP="008B3A6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B3A6E">
        <w:rPr>
          <w:rFonts w:ascii="Arial" w:hAnsi="Arial" w:cs="Arial"/>
          <w:i/>
          <w:lang w:eastAsia="cs-CZ"/>
        </w:rPr>
        <w:t xml:space="preserve">„Střížkov je zcela novou lokalitou v portfoliu CENTRAL GROUP. Vybudování stanice metra v roce 2008 tuto pražskou čtvrť výrazně pozvedlo a tak jsme se po této atraktivní oblasti poohlíželi již delší dobu,“ </w:t>
      </w:r>
      <w:r w:rsidRPr="008B3A6E">
        <w:rPr>
          <w:rFonts w:ascii="Arial" w:hAnsi="Arial" w:cs="Arial"/>
          <w:lang w:eastAsia="cs-CZ"/>
        </w:rPr>
        <w:t xml:space="preserve">řekl </w:t>
      </w:r>
      <w:r w:rsidR="002B16DC">
        <w:rPr>
          <w:rFonts w:ascii="Arial" w:hAnsi="Arial" w:cs="Arial"/>
          <w:lang w:eastAsia="cs-CZ"/>
        </w:rPr>
        <w:t>šéf</w:t>
      </w:r>
      <w:r w:rsidRPr="008B3A6E">
        <w:rPr>
          <w:rFonts w:ascii="Arial" w:hAnsi="Arial" w:cs="Arial"/>
          <w:lang w:eastAsia="cs-CZ"/>
        </w:rPr>
        <w:t xml:space="preserve"> CENTRAL GROUP Dušan Kunovský. </w:t>
      </w:r>
      <w:r w:rsidRPr="008B3A6E">
        <w:rPr>
          <w:rFonts w:ascii="Arial" w:hAnsi="Arial" w:cs="Arial"/>
          <w:i/>
          <w:lang w:eastAsia="cs-CZ"/>
        </w:rPr>
        <w:t>„</w:t>
      </w:r>
      <w:r w:rsidR="00CF0B69">
        <w:rPr>
          <w:rFonts w:ascii="Arial" w:hAnsi="Arial" w:cs="Arial"/>
          <w:i/>
          <w:lang w:eastAsia="cs-CZ"/>
        </w:rPr>
        <w:t>Brzy</w:t>
      </w:r>
      <w:r w:rsidRPr="008B3A6E">
        <w:rPr>
          <w:rFonts w:ascii="Arial" w:hAnsi="Arial" w:cs="Arial"/>
          <w:i/>
          <w:lang w:eastAsia="cs-CZ"/>
        </w:rPr>
        <w:t xml:space="preserve"> tedy budeme moci na severu Prahy nabídnout komfortní moderní byty přímo na stanici metra</w:t>
      </w:r>
      <w:r w:rsidR="005250C7">
        <w:rPr>
          <w:rFonts w:ascii="Arial" w:hAnsi="Arial" w:cs="Arial"/>
          <w:i/>
          <w:lang w:eastAsia="cs-CZ"/>
        </w:rPr>
        <w:t>,</w:t>
      </w:r>
      <w:r w:rsidRPr="008B3A6E">
        <w:rPr>
          <w:rFonts w:ascii="Arial" w:hAnsi="Arial" w:cs="Arial"/>
          <w:i/>
          <w:lang w:eastAsia="cs-CZ"/>
        </w:rPr>
        <w:t xml:space="preserve"> a to jak mladým </w:t>
      </w:r>
      <w:r w:rsidR="00DD256E">
        <w:rPr>
          <w:rFonts w:ascii="Arial" w:hAnsi="Arial" w:cs="Arial"/>
          <w:i/>
          <w:lang w:eastAsia="cs-CZ"/>
        </w:rPr>
        <w:t xml:space="preserve">zájemcům a </w:t>
      </w:r>
      <w:r w:rsidRPr="008B3A6E">
        <w:rPr>
          <w:rFonts w:ascii="Arial" w:hAnsi="Arial" w:cs="Arial"/>
          <w:i/>
          <w:lang w:eastAsia="cs-CZ"/>
        </w:rPr>
        <w:t xml:space="preserve">rodinám, tak i </w:t>
      </w:r>
      <w:r w:rsidR="00DD256E">
        <w:rPr>
          <w:rFonts w:ascii="Arial" w:hAnsi="Arial" w:cs="Arial"/>
          <w:i/>
          <w:lang w:eastAsia="cs-CZ"/>
        </w:rPr>
        <w:t>realitním investorům</w:t>
      </w:r>
      <w:r w:rsidRPr="008B3A6E">
        <w:rPr>
          <w:rFonts w:ascii="Arial" w:hAnsi="Arial" w:cs="Arial"/>
          <w:i/>
          <w:lang w:eastAsia="cs-CZ"/>
        </w:rPr>
        <w:t>,“</w:t>
      </w:r>
      <w:r w:rsidRPr="008B3A6E">
        <w:rPr>
          <w:rFonts w:ascii="Arial" w:hAnsi="Arial" w:cs="Arial"/>
          <w:lang w:eastAsia="cs-CZ"/>
        </w:rPr>
        <w:t xml:space="preserve"> dodal Kunovský.</w:t>
      </w:r>
    </w:p>
    <w:p w:rsidR="00CF0B69" w:rsidRDefault="00CF0B69" w:rsidP="008B3A6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CF0B69" w:rsidRDefault="00CF0B69" w:rsidP="008B3A6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Letos již deset akvizic</w:t>
      </w:r>
    </w:p>
    <w:p w:rsidR="008B3A6E" w:rsidRPr="008B3A6E" w:rsidRDefault="008B3A6E" w:rsidP="008B3A6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B3A6E">
        <w:rPr>
          <w:rFonts w:ascii="Arial" w:hAnsi="Arial" w:cs="Arial"/>
          <w:lang w:eastAsia="cs-CZ"/>
        </w:rPr>
        <w:t xml:space="preserve">CENTRAL GROUP v letošním roce již nakoupil </w:t>
      </w:r>
      <w:r w:rsidR="001776D1">
        <w:rPr>
          <w:rFonts w:ascii="Arial" w:hAnsi="Arial" w:cs="Arial"/>
          <w:lang w:eastAsia="cs-CZ"/>
        </w:rPr>
        <w:t xml:space="preserve">tři </w:t>
      </w:r>
      <w:r w:rsidRPr="008B3A6E">
        <w:rPr>
          <w:rFonts w:ascii="Arial" w:hAnsi="Arial" w:cs="Arial"/>
          <w:lang w:eastAsia="cs-CZ"/>
        </w:rPr>
        <w:t xml:space="preserve">pozemky ve Vysočanech, </w:t>
      </w:r>
      <w:r w:rsidR="001776D1">
        <w:rPr>
          <w:rFonts w:ascii="Arial" w:hAnsi="Arial" w:cs="Arial"/>
          <w:lang w:eastAsia="cs-CZ"/>
        </w:rPr>
        <w:t xml:space="preserve">dva ve Stodůlkách a po jednom v </w:t>
      </w:r>
      <w:r w:rsidRPr="008B3A6E">
        <w:rPr>
          <w:rFonts w:ascii="Arial" w:hAnsi="Arial" w:cs="Arial"/>
          <w:lang w:eastAsia="cs-CZ"/>
        </w:rPr>
        <w:t>Horních Měcholupech, Libni</w:t>
      </w:r>
      <w:r w:rsidR="001776D1">
        <w:rPr>
          <w:rFonts w:ascii="Arial" w:hAnsi="Arial" w:cs="Arial"/>
          <w:lang w:eastAsia="cs-CZ"/>
        </w:rPr>
        <w:t xml:space="preserve"> a</w:t>
      </w:r>
      <w:r w:rsidRPr="008B3A6E">
        <w:rPr>
          <w:rFonts w:ascii="Arial" w:hAnsi="Arial" w:cs="Arial"/>
          <w:lang w:eastAsia="cs-CZ"/>
        </w:rPr>
        <w:t xml:space="preserve"> na Zličíně. Nyní tedy nově vstupuje </w:t>
      </w:r>
      <w:r w:rsidR="002F235F">
        <w:rPr>
          <w:rFonts w:ascii="Arial" w:hAnsi="Arial" w:cs="Arial"/>
          <w:lang w:eastAsia="cs-CZ"/>
        </w:rPr>
        <w:t xml:space="preserve">dvěma akvizicemi </w:t>
      </w:r>
      <w:bookmarkStart w:id="0" w:name="_GoBack"/>
      <w:bookmarkEnd w:id="0"/>
      <w:r w:rsidR="00CF0B69">
        <w:rPr>
          <w:rFonts w:ascii="Arial" w:hAnsi="Arial" w:cs="Arial"/>
          <w:lang w:eastAsia="cs-CZ"/>
        </w:rPr>
        <w:t xml:space="preserve">také </w:t>
      </w:r>
      <w:r w:rsidRPr="008B3A6E">
        <w:rPr>
          <w:rFonts w:ascii="Arial" w:hAnsi="Arial" w:cs="Arial"/>
          <w:lang w:eastAsia="cs-CZ"/>
        </w:rPr>
        <w:t xml:space="preserve">do oblasti Střížkova. </w:t>
      </w:r>
      <w:r w:rsidR="005250C7">
        <w:rPr>
          <w:rFonts w:ascii="Arial" w:hAnsi="Arial" w:cs="Arial"/>
          <w:lang w:eastAsia="cs-CZ"/>
        </w:rPr>
        <w:t xml:space="preserve">Letos tak počet uzavřených akvizic stoupl </w:t>
      </w:r>
      <w:r w:rsidR="00CF0B69">
        <w:rPr>
          <w:rFonts w:ascii="Arial" w:hAnsi="Arial" w:cs="Arial"/>
          <w:lang w:eastAsia="cs-CZ"/>
        </w:rPr>
        <w:t>ji</w:t>
      </w:r>
      <w:r w:rsidR="005250C7">
        <w:rPr>
          <w:rFonts w:ascii="Arial" w:hAnsi="Arial" w:cs="Arial"/>
          <w:lang w:eastAsia="cs-CZ"/>
        </w:rPr>
        <w:t>ž na deset.</w:t>
      </w:r>
      <w:r w:rsidRPr="008B3A6E">
        <w:rPr>
          <w:rFonts w:ascii="Arial" w:hAnsi="Arial" w:cs="Arial"/>
          <w:lang w:eastAsia="cs-CZ"/>
        </w:rPr>
        <w:t xml:space="preserve"> </w:t>
      </w:r>
      <w:r w:rsidR="005250C7">
        <w:rPr>
          <w:rFonts w:ascii="Arial" w:hAnsi="Arial" w:cs="Arial"/>
          <w:lang w:eastAsia="cs-CZ"/>
        </w:rPr>
        <w:t>Na</w:t>
      </w:r>
      <w:r w:rsidRPr="008B3A6E">
        <w:rPr>
          <w:rFonts w:ascii="Arial" w:hAnsi="Arial" w:cs="Arial"/>
          <w:lang w:eastAsia="cs-CZ"/>
        </w:rPr>
        <w:t xml:space="preserve"> nákup veškerých pozemků pro své projekty má firma v letošním roce opět vyčleněnu částku 1,5 miliardy korun</w:t>
      </w:r>
      <w:r w:rsidR="00CF0B69">
        <w:rPr>
          <w:rFonts w:ascii="Arial" w:hAnsi="Arial" w:cs="Arial"/>
          <w:lang w:eastAsia="cs-CZ"/>
        </w:rPr>
        <w:t xml:space="preserve"> z vlastních zdrojů</w:t>
      </w:r>
      <w:r w:rsidRPr="008B3A6E">
        <w:rPr>
          <w:rFonts w:ascii="Arial" w:hAnsi="Arial" w:cs="Arial"/>
          <w:lang w:eastAsia="cs-CZ"/>
        </w:rPr>
        <w:t>.</w:t>
      </w:r>
    </w:p>
    <w:p w:rsidR="008B3A6E" w:rsidRPr="008B3A6E" w:rsidRDefault="008B3A6E" w:rsidP="008B3A6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250C7" w:rsidRPr="007143C3" w:rsidRDefault="005250C7" w:rsidP="005250C7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143C3">
        <w:rPr>
          <w:rFonts w:ascii="Arial" w:hAnsi="Arial" w:cs="Arial"/>
          <w:lang w:eastAsia="cs-CZ"/>
        </w:rPr>
        <w:t xml:space="preserve">Především u nově připravovaných velkých lokalit a </w:t>
      </w:r>
      <w:proofErr w:type="spellStart"/>
      <w:r w:rsidRPr="007143C3">
        <w:rPr>
          <w:rFonts w:ascii="Arial" w:hAnsi="Arial" w:cs="Arial"/>
          <w:lang w:eastAsia="cs-CZ"/>
        </w:rPr>
        <w:t>brownfieldů</w:t>
      </w:r>
      <w:proofErr w:type="spellEnd"/>
      <w:r w:rsidRPr="007143C3">
        <w:rPr>
          <w:rFonts w:ascii="Arial" w:hAnsi="Arial" w:cs="Arial"/>
          <w:lang w:eastAsia="cs-CZ"/>
        </w:rPr>
        <w:t xml:space="preserve"> se CENTRAL GROUP snaží zajišťovat komplexní </w:t>
      </w:r>
      <w:proofErr w:type="spellStart"/>
      <w:r w:rsidRPr="007143C3">
        <w:rPr>
          <w:rFonts w:ascii="Arial" w:hAnsi="Arial" w:cs="Arial"/>
          <w:lang w:eastAsia="cs-CZ"/>
        </w:rPr>
        <w:t>development</w:t>
      </w:r>
      <w:proofErr w:type="spellEnd"/>
      <w:r w:rsidRPr="007143C3">
        <w:rPr>
          <w:rFonts w:ascii="Arial" w:hAnsi="Arial" w:cs="Arial"/>
          <w:lang w:eastAsia="cs-CZ"/>
        </w:rPr>
        <w:t xml:space="preserve">, který rozvíjí území jako celek a k převažující bytové funkci přidává i prostory pro setkávání rezidentů, obchody a služby a veřejně přístupnou zeleň. </w:t>
      </w:r>
    </w:p>
    <w:p w:rsidR="00BB05A4" w:rsidRPr="003366AE" w:rsidRDefault="00BB05A4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</w:t>
      </w:r>
      <w:r w:rsidR="003366AE">
        <w:rPr>
          <w:rFonts w:ascii="Arial" w:hAnsi="Arial" w:cs="Arial"/>
          <w:sz w:val="16"/>
          <w:szCs w:val="16"/>
          <w:lang w:eastAsia="cs-CZ"/>
        </w:rPr>
        <w:t xml:space="preserve"> více než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366AE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EF" w:rsidRDefault="00C822EF" w:rsidP="00655B14">
      <w:pPr>
        <w:spacing w:after="0" w:line="240" w:lineRule="auto"/>
      </w:pPr>
      <w:r>
        <w:separator/>
      </w:r>
    </w:p>
  </w:endnote>
  <w:endnote w:type="continuationSeparator" w:id="0">
    <w:p w:rsidR="00C822EF" w:rsidRDefault="00C822EF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EF" w:rsidRDefault="00C822EF" w:rsidP="00655B14">
      <w:pPr>
        <w:spacing w:after="0" w:line="240" w:lineRule="auto"/>
      </w:pPr>
      <w:r>
        <w:separator/>
      </w:r>
    </w:p>
  </w:footnote>
  <w:footnote w:type="continuationSeparator" w:id="0">
    <w:p w:rsidR="00C822EF" w:rsidRDefault="00C822EF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83EE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5F5F81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18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8B3A6E"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262E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9218B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776D1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16DC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235F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05F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E6E4F"/>
    <w:rsid w:val="004F4589"/>
    <w:rsid w:val="0050068F"/>
    <w:rsid w:val="005063E2"/>
    <w:rsid w:val="00506D83"/>
    <w:rsid w:val="00516528"/>
    <w:rsid w:val="005207A4"/>
    <w:rsid w:val="005226E6"/>
    <w:rsid w:val="005250C7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5F81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068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17E8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A6E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27633"/>
    <w:rsid w:val="00A4200A"/>
    <w:rsid w:val="00A523CC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2992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2EF"/>
    <w:rsid w:val="00C828CD"/>
    <w:rsid w:val="00C87246"/>
    <w:rsid w:val="00C948E3"/>
    <w:rsid w:val="00C94B16"/>
    <w:rsid w:val="00C964AD"/>
    <w:rsid w:val="00C97FF5"/>
    <w:rsid w:val="00CA489A"/>
    <w:rsid w:val="00CA4B80"/>
    <w:rsid w:val="00CA6D83"/>
    <w:rsid w:val="00CB600E"/>
    <w:rsid w:val="00CC0429"/>
    <w:rsid w:val="00CC5301"/>
    <w:rsid w:val="00CD1466"/>
    <w:rsid w:val="00CD1F47"/>
    <w:rsid w:val="00CD26E1"/>
    <w:rsid w:val="00CD42C6"/>
    <w:rsid w:val="00CD4FA8"/>
    <w:rsid w:val="00CD6B89"/>
    <w:rsid w:val="00CE044C"/>
    <w:rsid w:val="00CE26CB"/>
    <w:rsid w:val="00CE2CDA"/>
    <w:rsid w:val="00CE7DA1"/>
    <w:rsid w:val="00CF0B69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56E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447B7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87B1-7E1B-4FE2-9481-3FD1C412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</cp:revision>
  <cp:lastPrinted>2015-11-18T09:41:00Z</cp:lastPrinted>
  <dcterms:created xsi:type="dcterms:W3CDTF">2015-11-18T09:44:00Z</dcterms:created>
  <dcterms:modified xsi:type="dcterms:W3CDTF">2015-11-18T09:44:00Z</dcterms:modified>
</cp:coreProperties>
</file>