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5A4D8C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87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6D4DB6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4.5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8F086A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CENTRAL GROUP zahájil prodej </w:t>
      </w:r>
      <w:r w:rsidR="00E85A21">
        <w:rPr>
          <w:rFonts w:ascii="Arial Black" w:hAnsi="Arial Black"/>
          <w:color w:val="000000" w:themeColor="text1"/>
          <w:sz w:val="32"/>
          <w:szCs w:val="32"/>
        </w:rPr>
        <w:t>nového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6D4DB6">
        <w:rPr>
          <w:rFonts w:ascii="Arial Black" w:hAnsi="Arial Black"/>
          <w:color w:val="000000" w:themeColor="text1"/>
          <w:sz w:val="32"/>
          <w:szCs w:val="32"/>
        </w:rPr>
        <w:t xml:space="preserve">projektu 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Park Zahradní Město, </w:t>
      </w:r>
      <w:r w:rsidR="00E85A21">
        <w:rPr>
          <w:rFonts w:ascii="Arial Black" w:hAnsi="Arial Black"/>
          <w:color w:val="000000" w:themeColor="text1"/>
          <w:sz w:val="32"/>
          <w:szCs w:val="32"/>
        </w:rPr>
        <w:t xml:space="preserve">snižuje úrokovou sazbu své 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hypotéky na 1,79 % </w:t>
      </w:r>
      <w:r w:rsidR="006D4DB6">
        <w:rPr>
          <w:rFonts w:ascii="Arial Black" w:hAnsi="Arial Black"/>
          <w:color w:val="000000" w:themeColor="text1"/>
          <w:sz w:val="32"/>
          <w:szCs w:val="32"/>
        </w:rPr>
        <w:t xml:space="preserve">a </w:t>
      </w:r>
      <w:r w:rsidR="00E85A21">
        <w:rPr>
          <w:rFonts w:ascii="Arial Black" w:hAnsi="Arial Black"/>
          <w:color w:val="000000" w:themeColor="text1"/>
          <w:sz w:val="32"/>
          <w:szCs w:val="32"/>
        </w:rPr>
        <w:t xml:space="preserve">dále </w:t>
      </w:r>
      <w:r w:rsidR="006D4DB6">
        <w:rPr>
          <w:rFonts w:ascii="Arial Black" w:hAnsi="Arial Black"/>
          <w:color w:val="000000" w:themeColor="text1"/>
          <w:sz w:val="32"/>
          <w:szCs w:val="32"/>
        </w:rPr>
        <w:t>dominuje pražskému trhu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667F45" w:rsidRDefault="006D4DB6" w:rsidP="00667F45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4.5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8F086A">
        <w:rPr>
          <w:rFonts w:ascii="Arial" w:hAnsi="Arial" w:cs="Arial"/>
          <w:b/>
          <w:sz w:val="23"/>
          <w:szCs w:val="23"/>
          <w:lang w:eastAsia="cs-CZ"/>
        </w:rPr>
        <w:t>Počátkem května zahájil největší český rezidenční developer a investor nové bytové výstavby, společnost CENTRAL GROUP, prodej dalšího nového bytového projektu</w:t>
      </w:r>
      <w:r w:rsidR="005837E9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8F086A">
        <w:rPr>
          <w:rFonts w:ascii="Arial" w:hAnsi="Arial" w:cs="Arial"/>
          <w:b/>
          <w:sz w:val="23"/>
          <w:szCs w:val="23"/>
          <w:lang w:eastAsia="cs-CZ"/>
        </w:rPr>
        <w:t xml:space="preserve">Celkem 76 prostorných moderních bytů v projektu Park Zahradní Město v Praze 10 – Záběhlicích bude dokončeno již v prosinci letošního roku. Zároveň společnost ohlašuje další snížení úrokové sazby u své Hypotéky CENTRAL GROUP, která nově činí pouhých 1,79 % ročně. </w:t>
      </w:r>
    </w:p>
    <w:p w:rsidR="00667F45" w:rsidRDefault="00667F45" w:rsidP="00667F45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504D69" w:rsidRDefault="008F086A" w:rsidP="00504D6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Ceny m</w:t>
      </w:r>
      <w:r w:rsidRPr="008F086A">
        <w:rPr>
          <w:rFonts w:ascii="Arial" w:hAnsi="Arial" w:cs="Arial"/>
          <w:lang w:eastAsia="cs-CZ"/>
        </w:rPr>
        <w:t>oderní</w:t>
      </w:r>
      <w:r>
        <w:rPr>
          <w:rFonts w:ascii="Arial" w:hAnsi="Arial" w:cs="Arial"/>
          <w:lang w:eastAsia="cs-CZ"/>
        </w:rPr>
        <w:t>ch</w:t>
      </w:r>
      <w:r w:rsidRPr="008F086A">
        <w:rPr>
          <w:rFonts w:ascii="Arial" w:hAnsi="Arial" w:cs="Arial"/>
          <w:lang w:eastAsia="cs-CZ"/>
        </w:rPr>
        <w:t xml:space="preserve"> rodinn</w:t>
      </w:r>
      <w:r>
        <w:rPr>
          <w:rFonts w:ascii="Arial" w:hAnsi="Arial" w:cs="Arial"/>
          <w:lang w:eastAsia="cs-CZ"/>
        </w:rPr>
        <w:t>ých</w:t>
      </w:r>
      <w:r w:rsidRPr="008F086A">
        <w:rPr>
          <w:rFonts w:ascii="Arial" w:hAnsi="Arial" w:cs="Arial"/>
          <w:lang w:eastAsia="cs-CZ"/>
        </w:rPr>
        <w:t xml:space="preserve"> by</w:t>
      </w:r>
      <w:r>
        <w:rPr>
          <w:rFonts w:ascii="Arial" w:hAnsi="Arial" w:cs="Arial"/>
          <w:lang w:eastAsia="cs-CZ"/>
        </w:rPr>
        <w:t>tů</w:t>
      </w:r>
      <w:r w:rsidRPr="008F086A">
        <w:rPr>
          <w:rFonts w:ascii="Arial" w:hAnsi="Arial" w:cs="Arial"/>
          <w:lang w:eastAsia="cs-CZ"/>
        </w:rPr>
        <w:t xml:space="preserve"> </w:t>
      </w:r>
      <w:r w:rsidR="00504D69">
        <w:rPr>
          <w:rFonts w:ascii="Arial" w:hAnsi="Arial" w:cs="Arial"/>
          <w:lang w:eastAsia="cs-CZ"/>
        </w:rPr>
        <w:t xml:space="preserve">v Parku Zahradní Město </w:t>
      </w:r>
      <w:r w:rsidRPr="008F086A">
        <w:rPr>
          <w:rFonts w:ascii="Arial" w:hAnsi="Arial" w:cs="Arial"/>
          <w:lang w:eastAsia="cs-CZ"/>
        </w:rPr>
        <w:t>začínají již na 40.100 Kč/m</w:t>
      </w:r>
      <w:r w:rsidRPr="00504D69">
        <w:rPr>
          <w:rFonts w:ascii="Arial" w:hAnsi="Arial" w:cs="Arial"/>
          <w:vertAlign w:val="superscript"/>
          <w:lang w:eastAsia="cs-CZ"/>
        </w:rPr>
        <w:t>2</w:t>
      </w:r>
      <w:r w:rsidRPr="008F086A">
        <w:rPr>
          <w:rFonts w:ascii="Arial" w:hAnsi="Arial" w:cs="Arial"/>
          <w:lang w:eastAsia="cs-CZ"/>
        </w:rPr>
        <w:t xml:space="preserve"> vč. DPH</w:t>
      </w:r>
      <w:r w:rsidR="00504D69">
        <w:rPr>
          <w:rFonts w:ascii="Arial" w:hAnsi="Arial" w:cs="Arial"/>
          <w:lang w:eastAsia="cs-CZ"/>
        </w:rPr>
        <w:t xml:space="preserve"> a vysokého standardu provedení bytů KOMFORT. </w:t>
      </w:r>
      <w:r w:rsidR="00504D69" w:rsidRPr="008F086A">
        <w:rPr>
          <w:rFonts w:ascii="Arial" w:hAnsi="Arial" w:cs="Arial"/>
          <w:lang w:eastAsia="cs-CZ"/>
        </w:rPr>
        <w:t>Prostorné byty o dispozici 2+kk tedy startují na 3,5 mil. Kč, ceny dispozic 3+kk začínají pod hranicí 4 mil. Kč a velké rodinné byty 4+kk pořídí zájemci od 5,8 milionu korun.</w:t>
      </w:r>
    </w:p>
    <w:p w:rsidR="00504D69" w:rsidRDefault="00504D69" w:rsidP="00504D6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04D69" w:rsidRPr="008F086A" w:rsidRDefault="00407E9A" w:rsidP="00C05C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05C91">
        <w:rPr>
          <w:rFonts w:ascii="Arial" w:hAnsi="Arial" w:cs="Arial"/>
          <w:i/>
          <w:lang w:eastAsia="cs-CZ"/>
        </w:rPr>
        <w:t>„Park Zahradní Město je posledním novým projektem v naší nabídce v</w:t>
      </w:r>
      <w:r w:rsidR="00C05C91">
        <w:rPr>
          <w:rFonts w:ascii="Arial" w:hAnsi="Arial" w:cs="Arial"/>
          <w:i/>
          <w:lang w:eastAsia="cs-CZ"/>
        </w:rPr>
        <w:t xml:space="preserve"> letošním </w:t>
      </w:r>
      <w:r w:rsidRPr="00C05C91">
        <w:rPr>
          <w:rFonts w:ascii="Arial" w:hAnsi="Arial" w:cs="Arial"/>
          <w:i/>
          <w:lang w:eastAsia="cs-CZ"/>
        </w:rPr>
        <w:t>prvním pololetí</w:t>
      </w:r>
      <w:r w:rsidR="00C05C91">
        <w:rPr>
          <w:rFonts w:ascii="Arial" w:hAnsi="Arial" w:cs="Arial"/>
          <w:i/>
          <w:lang w:eastAsia="cs-CZ"/>
        </w:rPr>
        <w:t xml:space="preserve">. </w:t>
      </w:r>
      <w:r w:rsidRPr="00FC0B76">
        <w:rPr>
          <w:rFonts w:ascii="Arial" w:hAnsi="Arial" w:cs="Arial"/>
          <w:i/>
          <w:color w:val="000000" w:themeColor="text1"/>
          <w:lang w:eastAsia="cs-CZ"/>
        </w:rPr>
        <w:t>Celkem jsme tak</w:t>
      </w:r>
      <w:r w:rsidR="00C05C91" w:rsidRPr="00FC0B76">
        <w:rPr>
          <w:rFonts w:ascii="Arial" w:hAnsi="Arial" w:cs="Arial"/>
          <w:i/>
          <w:color w:val="000000" w:themeColor="text1"/>
          <w:lang w:eastAsia="cs-CZ"/>
        </w:rPr>
        <w:t xml:space="preserve"> letos</w:t>
      </w:r>
      <w:r w:rsidRPr="00FC0B76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A76AE5" w:rsidRPr="00FC0B76">
        <w:rPr>
          <w:rFonts w:ascii="Arial" w:hAnsi="Arial" w:cs="Arial"/>
          <w:i/>
          <w:color w:val="000000" w:themeColor="text1"/>
          <w:lang w:eastAsia="cs-CZ"/>
        </w:rPr>
        <w:t>zahájili prodej</w:t>
      </w:r>
      <w:r w:rsidRPr="00FC0B76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FC0B76" w:rsidRPr="00FC0B76">
        <w:rPr>
          <w:rFonts w:ascii="Arial" w:hAnsi="Arial" w:cs="Arial"/>
          <w:i/>
          <w:color w:val="000000" w:themeColor="text1"/>
          <w:lang w:eastAsia="cs-CZ"/>
        </w:rPr>
        <w:t>téměř 500</w:t>
      </w:r>
      <w:r w:rsidR="00C05C91" w:rsidRPr="00C05C91">
        <w:rPr>
          <w:rFonts w:ascii="Arial" w:hAnsi="Arial" w:cs="Arial"/>
          <w:i/>
          <w:lang w:eastAsia="cs-CZ"/>
        </w:rPr>
        <w:t xml:space="preserve"> nových bytů a rodinných domů</w:t>
      </w:r>
      <w:r w:rsidR="00C05C91">
        <w:rPr>
          <w:rFonts w:ascii="Arial" w:hAnsi="Arial" w:cs="Arial"/>
          <w:i/>
          <w:lang w:eastAsia="cs-CZ"/>
        </w:rPr>
        <w:t xml:space="preserve"> v pěti lokalitách</w:t>
      </w:r>
      <w:r w:rsidR="00C05C91" w:rsidRPr="00C05C91">
        <w:rPr>
          <w:rFonts w:ascii="Arial" w:hAnsi="Arial" w:cs="Arial"/>
          <w:i/>
          <w:lang w:eastAsia="cs-CZ"/>
        </w:rPr>
        <w:t>, přičemž všechny</w:t>
      </w:r>
      <w:r w:rsidR="00A76AE5">
        <w:rPr>
          <w:rFonts w:ascii="Arial" w:hAnsi="Arial" w:cs="Arial"/>
          <w:i/>
          <w:lang w:eastAsia="cs-CZ"/>
        </w:rPr>
        <w:t xml:space="preserve"> nemovitosti zařazené do nabídky </w:t>
      </w:r>
      <w:r w:rsidR="00C05C91" w:rsidRPr="00C05C91">
        <w:rPr>
          <w:rFonts w:ascii="Arial" w:hAnsi="Arial" w:cs="Arial"/>
          <w:i/>
          <w:lang w:eastAsia="cs-CZ"/>
        </w:rPr>
        <w:t xml:space="preserve">se </w:t>
      </w:r>
      <w:r w:rsidR="00A76AE5">
        <w:rPr>
          <w:rFonts w:ascii="Arial" w:hAnsi="Arial" w:cs="Arial"/>
          <w:i/>
          <w:lang w:eastAsia="cs-CZ"/>
        </w:rPr>
        <w:t xml:space="preserve">zároveň </w:t>
      </w:r>
      <w:r w:rsidR="00C05C91" w:rsidRPr="00C05C91">
        <w:rPr>
          <w:rFonts w:ascii="Arial" w:hAnsi="Arial" w:cs="Arial"/>
          <w:i/>
          <w:lang w:eastAsia="cs-CZ"/>
        </w:rPr>
        <w:t>již intenzivně stav</w:t>
      </w:r>
      <w:r w:rsidR="00A76AE5">
        <w:rPr>
          <w:rFonts w:ascii="Arial" w:hAnsi="Arial" w:cs="Arial"/>
          <w:i/>
          <w:lang w:eastAsia="cs-CZ"/>
        </w:rPr>
        <w:t>ěj</w:t>
      </w:r>
      <w:r w:rsidR="00C05C91" w:rsidRPr="00C05C91">
        <w:rPr>
          <w:rFonts w:ascii="Arial" w:hAnsi="Arial" w:cs="Arial"/>
          <w:i/>
          <w:lang w:eastAsia="cs-CZ"/>
        </w:rPr>
        <w:t xml:space="preserve">í. Přestože je to zdaleka nejvíce ze všech pražských developerů, </w:t>
      </w:r>
      <w:r w:rsidR="00A76AE5">
        <w:rPr>
          <w:rFonts w:ascii="Arial" w:hAnsi="Arial" w:cs="Arial"/>
          <w:i/>
          <w:lang w:eastAsia="cs-CZ"/>
        </w:rPr>
        <w:t>rozhodně ještě</w:t>
      </w:r>
      <w:r w:rsidR="00C05C91" w:rsidRPr="00C05C91">
        <w:rPr>
          <w:rFonts w:ascii="Arial" w:hAnsi="Arial" w:cs="Arial"/>
          <w:i/>
          <w:lang w:eastAsia="cs-CZ"/>
        </w:rPr>
        <w:t xml:space="preserve"> nekončíme. Další </w:t>
      </w:r>
      <w:r w:rsidRPr="00C05C91">
        <w:rPr>
          <w:rFonts w:ascii="Arial" w:hAnsi="Arial" w:cs="Arial"/>
          <w:i/>
          <w:lang w:eastAsia="cs-CZ"/>
        </w:rPr>
        <w:t xml:space="preserve">vlnu zcela nových projektů v zavedených i úplně nových lokalitách, a to i v centru Prahy, </w:t>
      </w:r>
      <w:r w:rsidR="00C05C91" w:rsidRPr="00C05C91">
        <w:rPr>
          <w:rFonts w:ascii="Arial" w:hAnsi="Arial" w:cs="Arial"/>
          <w:i/>
          <w:lang w:eastAsia="cs-CZ"/>
        </w:rPr>
        <w:t>připravujeme již na září</w:t>
      </w:r>
      <w:r w:rsidR="00A76AE5">
        <w:rPr>
          <w:rFonts w:ascii="Arial" w:hAnsi="Arial" w:cs="Arial"/>
          <w:i/>
          <w:lang w:eastAsia="cs-CZ"/>
        </w:rPr>
        <w:t xml:space="preserve"> letošního roku</w:t>
      </w:r>
      <w:r w:rsidRPr="00C05C91">
        <w:rPr>
          <w:rFonts w:ascii="Arial" w:hAnsi="Arial" w:cs="Arial"/>
          <w:i/>
          <w:lang w:eastAsia="cs-CZ"/>
        </w:rPr>
        <w:t>,“</w:t>
      </w:r>
      <w:r w:rsidRPr="00407E9A">
        <w:rPr>
          <w:rFonts w:ascii="Arial" w:hAnsi="Arial" w:cs="Arial"/>
          <w:lang w:eastAsia="cs-CZ"/>
        </w:rPr>
        <w:t xml:space="preserve"> </w:t>
      </w:r>
      <w:r w:rsidR="00C05C91">
        <w:rPr>
          <w:rFonts w:ascii="Arial" w:hAnsi="Arial" w:cs="Arial"/>
          <w:lang w:eastAsia="cs-CZ"/>
        </w:rPr>
        <w:t>říká</w:t>
      </w:r>
      <w:r w:rsidRPr="00407E9A">
        <w:rPr>
          <w:rFonts w:ascii="Arial" w:hAnsi="Arial" w:cs="Arial"/>
          <w:lang w:eastAsia="cs-CZ"/>
        </w:rPr>
        <w:t xml:space="preserve"> Dušan Kunovský</w:t>
      </w:r>
      <w:r w:rsidR="00C05C91">
        <w:rPr>
          <w:rFonts w:ascii="Arial" w:hAnsi="Arial" w:cs="Arial"/>
          <w:lang w:eastAsia="cs-CZ"/>
        </w:rPr>
        <w:t>, předseda představenstva CENTRAL GROUP</w:t>
      </w:r>
      <w:r w:rsidRPr="00407E9A">
        <w:rPr>
          <w:rFonts w:ascii="Arial" w:hAnsi="Arial" w:cs="Arial"/>
          <w:lang w:eastAsia="cs-CZ"/>
        </w:rPr>
        <w:t>.</w:t>
      </w:r>
    </w:p>
    <w:p w:rsidR="00504D69" w:rsidRDefault="00504D69" w:rsidP="00504D6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04D69" w:rsidRPr="00504D69" w:rsidRDefault="00504D69" w:rsidP="008F086A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504D69">
        <w:rPr>
          <w:rFonts w:ascii="Arial" w:hAnsi="Arial" w:cs="Arial"/>
          <w:b/>
          <w:sz w:val="23"/>
          <w:szCs w:val="23"/>
          <w:lang w:eastAsia="cs-CZ"/>
        </w:rPr>
        <w:t>Park Zahradní Město: Rodinné bydlení blízko centra Prahy</w:t>
      </w:r>
    </w:p>
    <w:p w:rsidR="00504D69" w:rsidRPr="00504D69" w:rsidRDefault="00504D69" w:rsidP="008F086A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504D69" w:rsidRDefault="00C05C91" w:rsidP="008F086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Bytový areál Park Zahradní Město je koncipován jako </w:t>
      </w:r>
      <w:r w:rsidRPr="008F086A">
        <w:rPr>
          <w:rFonts w:ascii="Arial" w:hAnsi="Arial" w:cs="Arial"/>
          <w:lang w:eastAsia="cs-CZ"/>
        </w:rPr>
        <w:t>moderní a cenově dostupné rodinné bydlení blízko centra Prahy.</w:t>
      </w:r>
      <w:r>
        <w:rPr>
          <w:rFonts w:ascii="Arial" w:hAnsi="Arial" w:cs="Arial"/>
          <w:lang w:eastAsia="cs-CZ"/>
        </w:rPr>
        <w:t xml:space="preserve"> Tvoří jej originální </w:t>
      </w:r>
      <w:r w:rsidR="00504D69">
        <w:rPr>
          <w:rFonts w:ascii="Arial" w:hAnsi="Arial" w:cs="Arial"/>
          <w:lang w:eastAsia="cs-CZ"/>
        </w:rPr>
        <w:t>sedmipodlažní bytový dům s c</w:t>
      </w:r>
      <w:r w:rsidR="008F086A" w:rsidRPr="008F086A">
        <w:rPr>
          <w:rFonts w:ascii="Arial" w:hAnsi="Arial" w:cs="Arial"/>
          <w:lang w:eastAsia="cs-CZ"/>
        </w:rPr>
        <w:t>elkem 76 byt</w:t>
      </w:r>
      <w:r w:rsidR="00504D69">
        <w:rPr>
          <w:rFonts w:ascii="Arial" w:hAnsi="Arial" w:cs="Arial"/>
          <w:lang w:eastAsia="cs-CZ"/>
        </w:rPr>
        <w:t>y</w:t>
      </w:r>
      <w:r w:rsidR="008F086A" w:rsidRPr="008F086A">
        <w:rPr>
          <w:rFonts w:ascii="Arial" w:hAnsi="Arial" w:cs="Arial"/>
          <w:lang w:eastAsia="cs-CZ"/>
        </w:rPr>
        <w:t xml:space="preserve"> o dispozi</w:t>
      </w:r>
      <w:r w:rsidR="00504D69">
        <w:rPr>
          <w:rFonts w:ascii="Arial" w:hAnsi="Arial" w:cs="Arial"/>
          <w:lang w:eastAsia="cs-CZ"/>
        </w:rPr>
        <w:t>cích 2+kk až 4+kk</w:t>
      </w:r>
      <w:r>
        <w:rPr>
          <w:rFonts w:ascii="Arial" w:hAnsi="Arial" w:cs="Arial"/>
          <w:lang w:eastAsia="cs-CZ"/>
        </w:rPr>
        <w:t xml:space="preserve">, </w:t>
      </w:r>
      <w:r w:rsidR="00FF6543">
        <w:rPr>
          <w:rFonts w:ascii="Arial" w:hAnsi="Arial" w:cs="Arial"/>
          <w:lang w:eastAsia="cs-CZ"/>
        </w:rPr>
        <w:t xml:space="preserve">jehož </w:t>
      </w:r>
      <w:r>
        <w:rPr>
          <w:rFonts w:ascii="Arial" w:hAnsi="Arial" w:cs="Arial"/>
          <w:lang w:eastAsia="cs-CZ"/>
        </w:rPr>
        <w:t xml:space="preserve">termín dokončení </w:t>
      </w:r>
      <w:r w:rsidR="00FF6543">
        <w:rPr>
          <w:rFonts w:ascii="Arial" w:hAnsi="Arial" w:cs="Arial"/>
          <w:lang w:eastAsia="cs-CZ"/>
        </w:rPr>
        <w:t>j</w:t>
      </w:r>
      <w:r>
        <w:rPr>
          <w:rFonts w:ascii="Arial" w:hAnsi="Arial" w:cs="Arial"/>
          <w:lang w:eastAsia="cs-CZ"/>
        </w:rPr>
        <w:t xml:space="preserve">e stanoven </w:t>
      </w:r>
      <w:r w:rsidR="00FF6543">
        <w:rPr>
          <w:rFonts w:ascii="Arial" w:hAnsi="Arial" w:cs="Arial"/>
          <w:lang w:eastAsia="cs-CZ"/>
        </w:rPr>
        <w:t xml:space="preserve">již </w:t>
      </w:r>
      <w:r>
        <w:rPr>
          <w:rFonts w:ascii="Arial" w:hAnsi="Arial" w:cs="Arial"/>
          <w:lang w:eastAsia="cs-CZ"/>
        </w:rPr>
        <w:t>na prosinec 2015.</w:t>
      </w:r>
      <w:r w:rsidR="00504D69">
        <w:rPr>
          <w:rFonts w:ascii="Arial" w:hAnsi="Arial" w:cs="Arial"/>
          <w:lang w:eastAsia="cs-CZ"/>
        </w:rPr>
        <w:t xml:space="preserve"> Velkou </w:t>
      </w:r>
      <w:r w:rsidR="008F086A" w:rsidRPr="008F086A">
        <w:rPr>
          <w:rFonts w:ascii="Arial" w:hAnsi="Arial" w:cs="Arial"/>
          <w:lang w:eastAsia="cs-CZ"/>
        </w:rPr>
        <w:t>výhodou projektu je perfektní dopravní dostupnost přím</w:t>
      </w:r>
      <w:r w:rsidR="00407E9A">
        <w:rPr>
          <w:rFonts w:ascii="Arial" w:hAnsi="Arial" w:cs="Arial"/>
          <w:lang w:eastAsia="cs-CZ"/>
        </w:rPr>
        <w:t>ými</w:t>
      </w:r>
      <w:r w:rsidR="008F086A" w:rsidRPr="008F086A">
        <w:rPr>
          <w:rFonts w:ascii="Arial" w:hAnsi="Arial" w:cs="Arial"/>
          <w:lang w:eastAsia="cs-CZ"/>
        </w:rPr>
        <w:t xml:space="preserve"> tramvajov</w:t>
      </w:r>
      <w:r w:rsidR="00407E9A">
        <w:rPr>
          <w:rFonts w:ascii="Arial" w:hAnsi="Arial" w:cs="Arial"/>
          <w:lang w:eastAsia="cs-CZ"/>
        </w:rPr>
        <w:t>ými</w:t>
      </w:r>
      <w:r w:rsidR="008F086A" w:rsidRPr="008F086A">
        <w:rPr>
          <w:rFonts w:ascii="Arial" w:hAnsi="Arial" w:cs="Arial"/>
          <w:lang w:eastAsia="cs-CZ"/>
        </w:rPr>
        <w:t xml:space="preserve"> link</w:t>
      </w:r>
      <w:r w:rsidR="00407E9A">
        <w:rPr>
          <w:rFonts w:ascii="Arial" w:hAnsi="Arial" w:cs="Arial"/>
          <w:lang w:eastAsia="cs-CZ"/>
        </w:rPr>
        <w:t>ami</w:t>
      </w:r>
      <w:r w:rsidR="008F086A" w:rsidRPr="008F086A">
        <w:rPr>
          <w:rFonts w:ascii="Arial" w:hAnsi="Arial" w:cs="Arial"/>
          <w:lang w:eastAsia="cs-CZ"/>
        </w:rPr>
        <w:t xml:space="preserve"> do 5 minut na metr</w:t>
      </w:r>
      <w:r w:rsidR="00504D69">
        <w:rPr>
          <w:rFonts w:ascii="Arial" w:hAnsi="Arial" w:cs="Arial"/>
          <w:lang w:eastAsia="cs-CZ"/>
        </w:rPr>
        <w:t>o a do 20 minut do centra Prahy, a to ze</w:t>
      </w:r>
      <w:r w:rsidR="008F086A" w:rsidRPr="008F086A">
        <w:rPr>
          <w:rFonts w:ascii="Arial" w:hAnsi="Arial" w:cs="Arial"/>
          <w:lang w:eastAsia="cs-CZ"/>
        </w:rPr>
        <w:t xml:space="preserve"> zastávky přímo u domu. </w:t>
      </w:r>
    </w:p>
    <w:p w:rsidR="00504D69" w:rsidRDefault="00504D69" w:rsidP="008F086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F086A" w:rsidRPr="008F086A" w:rsidRDefault="008F086A" w:rsidP="008F086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F086A">
        <w:rPr>
          <w:rFonts w:ascii="Arial" w:hAnsi="Arial" w:cs="Arial"/>
          <w:lang w:eastAsia="cs-CZ"/>
        </w:rPr>
        <w:t>Lokalita</w:t>
      </w:r>
      <w:r w:rsidR="00C05C91">
        <w:rPr>
          <w:rFonts w:ascii="Arial" w:hAnsi="Arial" w:cs="Arial"/>
          <w:lang w:eastAsia="cs-CZ"/>
        </w:rPr>
        <w:t xml:space="preserve"> na pomezí Hostivaře a Záběhlic</w:t>
      </w:r>
      <w:r w:rsidRPr="008F086A">
        <w:rPr>
          <w:rFonts w:ascii="Arial" w:hAnsi="Arial" w:cs="Arial"/>
          <w:lang w:eastAsia="cs-CZ"/>
        </w:rPr>
        <w:t xml:space="preserve"> vyniká kompletní občanskou vybaveností s nákupním centrem Park Hostivař, mnoha obchody, restauracemi, školami, sportovišti, službami i zdravotnickým zařízením přímo v bezprostředním okolí. Atraktivní přírodní plochy lesoparku Hostivařská přehrada a Meandry Botiče vhodné pro nerušenou relaxaci v zeleni se pak nacházejí v docházkové vzdálenosti</w:t>
      </w:r>
      <w:r w:rsidR="00504D69">
        <w:rPr>
          <w:rFonts w:ascii="Arial" w:hAnsi="Arial" w:cs="Arial"/>
          <w:lang w:eastAsia="cs-CZ"/>
        </w:rPr>
        <w:t xml:space="preserve"> </w:t>
      </w:r>
      <w:r w:rsidR="00C05C91">
        <w:rPr>
          <w:rFonts w:ascii="Arial" w:hAnsi="Arial" w:cs="Arial"/>
          <w:lang w:eastAsia="cs-CZ"/>
        </w:rPr>
        <w:t>do 1</w:t>
      </w:r>
      <w:r w:rsidR="00504D69">
        <w:rPr>
          <w:rFonts w:ascii="Arial" w:hAnsi="Arial" w:cs="Arial"/>
          <w:lang w:eastAsia="cs-CZ"/>
        </w:rPr>
        <w:t>0 minut</w:t>
      </w:r>
      <w:r w:rsidRPr="008F086A">
        <w:rPr>
          <w:rFonts w:ascii="Arial" w:hAnsi="Arial" w:cs="Arial"/>
          <w:lang w:eastAsia="cs-CZ"/>
        </w:rPr>
        <w:t>.</w:t>
      </w:r>
    </w:p>
    <w:p w:rsidR="008F086A" w:rsidRPr="008F086A" w:rsidRDefault="008F086A" w:rsidP="008F086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F086A" w:rsidRPr="008F086A" w:rsidRDefault="008F086A" w:rsidP="008F086A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8F086A">
        <w:rPr>
          <w:rFonts w:ascii="Arial" w:hAnsi="Arial" w:cs="Arial"/>
          <w:b/>
          <w:sz w:val="23"/>
          <w:szCs w:val="23"/>
          <w:lang w:eastAsia="cs-CZ"/>
        </w:rPr>
        <w:lastRenderedPageBreak/>
        <w:t>Hypotéka CENTRAL GROUP nově s úrokem jen 1,79 % ročně</w:t>
      </w:r>
    </w:p>
    <w:p w:rsidR="008F086A" w:rsidRPr="008F086A" w:rsidRDefault="008F086A" w:rsidP="008F086A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8F086A" w:rsidRDefault="00FF6543" w:rsidP="00FF654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Společně s letos již několikátým rozšířením nabídky nových bytů přichází CENTRAL GROUP také s dalším snížením úrokové sazby </w:t>
      </w:r>
      <w:r w:rsidR="008F086A" w:rsidRPr="008F086A">
        <w:rPr>
          <w:rFonts w:ascii="Arial" w:hAnsi="Arial" w:cs="Arial"/>
          <w:lang w:eastAsia="cs-CZ"/>
        </w:rPr>
        <w:t>u svého přelomového produktu, bezkon</w:t>
      </w:r>
      <w:r>
        <w:rPr>
          <w:rFonts w:ascii="Arial" w:hAnsi="Arial" w:cs="Arial"/>
          <w:lang w:eastAsia="cs-CZ"/>
        </w:rPr>
        <w:t>kurenční Hypotéky CENTRAL GROUP. Ta</w:t>
      </w:r>
      <w:r w:rsidR="008F086A" w:rsidRPr="008F086A">
        <w:rPr>
          <w:rFonts w:ascii="Arial" w:hAnsi="Arial" w:cs="Arial"/>
          <w:lang w:eastAsia="cs-CZ"/>
        </w:rPr>
        <w:t xml:space="preserve"> poskytuje nejlepší podmínky financování nového bydlení na českém trhu. Nová výše garantované úrokové sazby činí jen 1,79 % ročně a je možné ji využít při koupi všech bytů a rodinných domů, jak dokončených, tak i rozestavěných ve všech lokalitách v Praze a okolí.</w:t>
      </w:r>
    </w:p>
    <w:p w:rsidR="00FF6543" w:rsidRDefault="00FF6543" w:rsidP="00FF654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Pr="008F086A" w:rsidRDefault="00FF6543" w:rsidP="00FF654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Nové bydlení je tak díky Hypotéce CENTRAL GROUP dostupné již od 5.400 korun měsíčně, a to s minimální splátkou vlastních zdrojů ve výši pouhých 10 % z kupní ceny nemovitosti. </w:t>
      </w:r>
    </w:p>
    <w:p w:rsidR="008F086A" w:rsidRPr="008F086A" w:rsidRDefault="008F086A" w:rsidP="008F086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F086A" w:rsidRPr="008F086A" w:rsidRDefault="008F086A" w:rsidP="008F086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F086A">
        <w:rPr>
          <w:rFonts w:ascii="Arial" w:hAnsi="Arial" w:cs="Arial"/>
          <w:lang w:eastAsia="cs-CZ"/>
        </w:rPr>
        <w:t xml:space="preserve">Zpracování, schvalování i čerpání úvěru je přitom díky úvěrovému poradenství CENTRAL GROUP výrazně jednodušší a rychlejší, než při sjednávání klasické hypotéky v bance. Celý úvěrový proces pro klienty zajišťují zcela zdarma vlastní </w:t>
      </w:r>
      <w:r w:rsidR="005A4D8C">
        <w:rPr>
          <w:rFonts w:ascii="Arial" w:hAnsi="Arial" w:cs="Arial"/>
          <w:lang w:eastAsia="cs-CZ"/>
        </w:rPr>
        <w:t>pracovníci</w:t>
      </w:r>
      <w:bookmarkStart w:id="0" w:name="_GoBack"/>
      <w:bookmarkEnd w:id="0"/>
      <w:r w:rsidRPr="008F086A">
        <w:rPr>
          <w:rFonts w:ascii="Arial" w:hAnsi="Arial" w:cs="Arial"/>
          <w:lang w:eastAsia="cs-CZ"/>
        </w:rPr>
        <w:t xml:space="preserve"> CENTRAL GROUP. Garantovaný úrok </w:t>
      </w:r>
      <w:r w:rsidR="00FF6543">
        <w:rPr>
          <w:rFonts w:ascii="Arial" w:hAnsi="Arial" w:cs="Arial"/>
          <w:lang w:eastAsia="cs-CZ"/>
        </w:rPr>
        <w:t xml:space="preserve">ve výši </w:t>
      </w:r>
      <w:r w:rsidRPr="008F086A">
        <w:rPr>
          <w:rFonts w:ascii="Arial" w:hAnsi="Arial" w:cs="Arial"/>
          <w:lang w:eastAsia="cs-CZ"/>
        </w:rPr>
        <w:t>1,79 % ročně platí při vlastních zdrojích klienta ve výši alespoň 10 % z ceny nemovitosti a při fixaci úvěru na 3 až 7 let. Těchto bezkonkurenčních podmínek pro své klienty dosahuje CENTRAL GROUP u hypotečních bank jako největší rezidenční developer v ČR díky velkým počtům sjednávaných úvěrů.</w:t>
      </w:r>
    </w:p>
    <w:p w:rsidR="00E90FCB" w:rsidRDefault="00E90FCB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FF6543">
        <w:rPr>
          <w:rFonts w:ascii="Arial" w:hAnsi="Arial" w:cs="Arial"/>
          <w:i/>
          <w:lang w:eastAsia="cs-CZ"/>
        </w:rPr>
        <w:t>„Máme vlastní úvěrové pracovníky a spolupracujeme s pěti největšími bankami na českém trhu. Díky tomu jsme schopni pro každého zájemce zpracovat individuální nabídku odpovídající přesně jeho situ</w:t>
      </w:r>
      <w:r w:rsidR="0048374C">
        <w:rPr>
          <w:rFonts w:ascii="Arial" w:hAnsi="Arial" w:cs="Arial"/>
          <w:i/>
          <w:lang w:eastAsia="cs-CZ"/>
        </w:rPr>
        <w:t>aci a potřebám, nikoli takovou</w:t>
      </w:r>
      <w:r w:rsidRPr="00FF6543">
        <w:rPr>
          <w:rFonts w:ascii="Arial" w:hAnsi="Arial" w:cs="Arial"/>
          <w:i/>
          <w:lang w:eastAsia="cs-CZ"/>
        </w:rPr>
        <w:t>, z níž bude mít nějaký externí zprostředkovatel největší provizi,“</w:t>
      </w:r>
      <w:r w:rsidRPr="00FF6543">
        <w:rPr>
          <w:rFonts w:ascii="Arial" w:hAnsi="Arial" w:cs="Arial"/>
          <w:lang w:eastAsia="cs-CZ"/>
        </w:rPr>
        <w:t xml:space="preserve"> </w:t>
      </w:r>
      <w:r w:rsidR="0048374C">
        <w:rPr>
          <w:rFonts w:ascii="Arial" w:hAnsi="Arial" w:cs="Arial"/>
          <w:lang w:eastAsia="cs-CZ"/>
        </w:rPr>
        <w:t>upozorňuje na častý nešvar při financování nového bydlení</w:t>
      </w:r>
      <w:r w:rsidRPr="00FF6543">
        <w:rPr>
          <w:rFonts w:ascii="Arial" w:hAnsi="Arial" w:cs="Arial"/>
          <w:lang w:eastAsia="cs-CZ"/>
        </w:rPr>
        <w:t xml:space="preserve"> Dušan Kunovský.</w:t>
      </w: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F6543" w:rsidRDefault="00FF654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5CD6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5CD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47C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07E9A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74F5D"/>
    <w:rsid w:val="0048374C"/>
    <w:rsid w:val="00487B16"/>
    <w:rsid w:val="00490A3A"/>
    <w:rsid w:val="00491B22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4D69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37E9"/>
    <w:rsid w:val="005A1046"/>
    <w:rsid w:val="005A33B1"/>
    <w:rsid w:val="005A4D8C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67F4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D4DB6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32F60"/>
    <w:rsid w:val="00847DB4"/>
    <w:rsid w:val="00850686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086A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0B8A"/>
    <w:rsid w:val="00A148D8"/>
    <w:rsid w:val="00A347DB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76AE5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779A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05C91"/>
    <w:rsid w:val="00C1171C"/>
    <w:rsid w:val="00C311B7"/>
    <w:rsid w:val="00C3154B"/>
    <w:rsid w:val="00C3267B"/>
    <w:rsid w:val="00C3325A"/>
    <w:rsid w:val="00C50EB7"/>
    <w:rsid w:val="00C51093"/>
    <w:rsid w:val="00C53B89"/>
    <w:rsid w:val="00C5674A"/>
    <w:rsid w:val="00C5699A"/>
    <w:rsid w:val="00C607A2"/>
    <w:rsid w:val="00C621FC"/>
    <w:rsid w:val="00C67AEB"/>
    <w:rsid w:val="00C802DC"/>
    <w:rsid w:val="00C80C4D"/>
    <w:rsid w:val="00C812FA"/>
    <w:rsid w:val="00C828CD"/>
    <w:rsid w:val="00C8543A"/>
    <w:rsid w:val="00C87246"/>
    <w:rsid w:val="00C964AD"/>
    <w:rsid w:val="00C97FF5"/>
    <w:rsid w:val="00CA489A"/>
    <w:rsid w:val="00CA4B80"/>
    <w:rsid w:val="00CA6D83"/>
    <w:rsid w:val="00CC0429"/>
    <w:rsid w:val="00CC7F34"/>
    <w:rsid w:val="00CD1466"/>
    <w:rsid w:val="00CD1F47"/>
    <w:rsid w:val="00CD26E1"/>
    <w:rsid w:val="00CD42C6"/>
    <w:rsid w:val="00CD6B89"/>
    <w:rsid w:val="00CE2CDA"/>
    <w:rsid w:val="00CE79F1"/>
    <w:rsid w:val="00CF181B"/>
    <w:rsid w:val="00CF7C55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206E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0C73"/>
    <w:rsid w:val="00E830CF"/>
    <w:rsid w:val="00E85A21"/>
    <w:rsid w:val="00E90FCB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0B76"/>
    <w:rsid w:val="00FC3BB1"/>
    <w:rsid w:val="00FD23C2"/>
    <w:rsid w:val="00FD40F0"/>
    <w:rsid w:val="00FD52E9"/>
    <w:rsid w:val="00FD6FDD"/>
    <w:rsid w:val="00FD7ED7"/>
    <w:rsid w:val="00FE5EF3"/>
    <w:rsid w:val="00FF22D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578BF2F2-4033-444A-BA4D-96AC5A7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3837-FDEE-4C71-B9BE-DCEEC758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35</cp:revision>
  <cp:lastPrinted>2015-04-13T15:52:00Z</cp:lastPrinted>
  <dcterms:created xsi:type="dcterms:W3CDTF">2015-04-01T10:26:00Z</dcterms:created>
  <dcterms:modified xsi:type="dcterms:W3CDTF">2015-05-04T11:20:00Z</dcterms:modified>
</cp:coreProperties>
</file>