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Default="00AC74B4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Budoucnost Prahy je na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brownfieldech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nyní připravuje projekty na osmi </w:t>
      </w:r>
      <w:r w:rsidR="008771CE">
        <w:rPr>
          <w:rFonts w:ascii="Arial Black" w:hAnsi="Arial Black"/>
          <w:color w:val="000000" w:themeColor="text1"/>
          <w:sz w:val="28"/>
          <w:szCs w:val="28"/>
        </w:rPr>
        <w:t>z nich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3B0921" w:rsidRPr="00163DF0" w:rsidRDefault="002C4DCA" w:rsidP="003B092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791E12">
        <w:rPr>
          <w:rFonts w:ascii="Arial" w:hAnsi="Arial" w:cs="Arial"/>
          <w:i/>
          <w:lang w:eastAsia="cs-CZ"/>
        </w:rPr>
        <w:t>18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791E12">
        <w:rPr>
          <w:rFonts w:ascii="Arial" w:hAnsi="Arial" w:cs="Arial"/>
          <w:i/>
          <w:lang w:eastAsia="cs-CZ"/>
        </w:rPr>
        <w:t>7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7B2F43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bookmarkStart w:id="0" w:name="_Hlk479150880"/>
      <w:r w:rsidR="003B0921">
        <w:rPr>
          <w:rFonts w:ascii="Arial" w:hAnsi="Arial" w:cs="Arial"/>
          <w:lang w:eastAsia="cs-CZ"/>
        </w:rPr>
        <w:t xml:space="preserve"> </w:t>
      </w:r>
      <w:r w:rsidR="003B0921" w:rsidRPr="00163DF0">
        <w:rPr>
          <w:rFonts w:ascii="Arial" w:hAnsi="Arial" w:cs="Arial"/>
          <w:b/>
          <w:lang w:eastAsia="cs-CZ"/>
        </w:rPr>
        <w:t xml:space="preserve">Praha má podle Institutu plánování a rozvoje celkem 950 ha transformačních ploch. </w:t>
      </w:r>
      <w:r w:rsidR="00235253">
        <w:rPr>
          <w:rFonts w:ascii="Arial" w:hAnsi="Arial" w:cs="Arial"/>
          <w:b/>
          <w:lang w:eastAsia="cs-CZ"/>
        </w:rPr>
        <w:t xml:space="preserve">Především na ně by se podle proklamovaného názoru vedení města měl soustředit rozvoj v následujících letech. </w:t>
      </w:r>
      <w:r w:rsidR="003B0921" w:rsidRPr="00163DF0">
        <w:rPr>
          <w:rFonts w:ascii="Arial" w:hAnsi="Arial" w:cs="Arial"/>
          <w:b/>
          <w:lang w:eastAsia="cs-CZ"/>
        </w:rPr>
        <w:t xml:space="preserve">V rukou největšího rezidenčního developera je přitom více než 50 ha pražských brownfieldů. Jde </w:t>
      </w:r>
      <w:r w:rsidR="0082218A">
        <w:rPr>
          <w:rFonts w:ascii="Arial" w:hAnsi="Arial" w:cs="Arial"/>
          <w:b/>
          <w:lang w:eastAsia="cs-CZ"/>
        </w:rPr>
        <w:t xml:space="preserve">především </w:t>
      </w:r>
      <w:r w:rsidR="003B0921" w:rsidRPr="00163DF0">
        <w:rPr>
          <w:rFonts w:ascii="Arial" w:hAnsi="Arial" w:cs="Arial"/>
          <w:b/>
          <w:lang w:eastAsia="cs-CZ"/>
        </w:rPr>
        <w:t xml:space="preserve">o osm areálů, kde </w:t>
      </w:r>
      <w:proofErr w:type="spellStart"/>
      <w:r w:rsidR="003B0921" w:rsidRPr="00163DF0">
        <w:rPr>
          <w:rFonts w:ascii="Arial" w:hAnsi="Arial" w:cs="Arial"/>
          <w:b/>
          <w:lang w:eastAsia="cs-CZ"/>
        </w:rPr>
        <w:t>Central</w:t>
      </w:r>
      <w:proofErr w:type="spellEnd"/>
      <w:r w:rsidR="003B0921" w:rsidRPr="00163DF0">
        <w:rPr>
          <w:rFonts w:ascii="Arial" w:hAnsi="Arial" w:cs="Arial"/>
          <w:b/>
          <w:lang w:eastAsia="cs-CZ"/>
        </w:rPr>
        <w:t xml:space="preserve"> Group aktuálně plánuje výstavbu převážně rezidenčních čtvrtí. Celkem by na </w:t>
      </w:r>
      <w:proofErr w:type="spellStart"/>
      <w:r w:rsidR="0082218A">
        <w:rPr>
          <w:rFonts w:ascii="Arial" w:hAnsi="Arial" w:cs="Arial"/>
          <w:b/>
          <w:lang w:eastAsia="cs-CZ"/>
        </w:rPr>
        <w:t>brownfieldech</w:t>
      </w:r>
      <w:proofErr w:type="spellEnd"/>
      <w:r w:rsidR="0082218A">
        <w:rPr>
          <w:rFonts w:ascii="Arial" w:hAnsi="Arial" w:cs="Arial"/>
          <w:b/>
          <w:lang w:eastAsia="cs-CZ"/>
        </w:rPr>
        <w:t xml:space="preserve"> </w:t>
      </w:r>
      <w:proofErr w:type="spellStart"/>
      <w:r w:rsidR="0082218A">
        <w:rPr>
          <w:rFonts w:ascii="Arial" w:hAnsi="Arial" w:cs="Arial"/>
          <w:b/>
          <w:lang w:eastAsia="cs-CZ"/>
        </w:rPr>
        <w:t>Central</w:t>
      </w:r>
      <w:proofErr w:type="spellEnd"/>
      <w:r w:rsidR="0082218A">
        <w:rPr>
          <w:rFonts w:ascii="Arial" w:hAnsi="Arial" w:cs="Arial"/>
          <w:b/>
          <w:lang w:eastAsia="cs-CZ"/>
        </w:rPr>
        <w:t xml:space="preserve"> Group </w:t>
      </w:r>
      <w:r w:rsidR="003B0921" w:rsidRPr="00163DF0">
        <w:rPr>
          <w:rFonts w:ascii="Arial" w:hAnsi="Arial" w:cs="Arial"/>
          <w:b/>
          <w:lang w:eastAsia="cs-CZ"/>
        </w:rPr>
        <w:t xml:space="preserve">mohlo vzniknout </w:t>
      </w:r>
      <w:r w:rsidR="00173480">
        <w:rPr>
          <w:rFonts w:ascii="Arial" w:hAnsi="Arial" w:cs="Arial"/>
          <w:b/>
          <w:lang w:eastAsia="cs-CZ"/>
        </w:rPr>
        <w:t>skoro</w:t>
      </w:r>
      <w:r w:rsidR="003B0921" w:rsidRPr="00163DF0">
        <w:rPr>
          <w:rFonts w:ascii="Arial" w:hAnsi="Arial" w:cs="Arial"/>
          <w:b/>
          <w:lang w:eastAsia="cs-CZ"/>
        </w:rPr>
        <w:t xml:space="preserve"> 1</w:t>
      </w:r>
      <w:r w:rsidR="0082218A">
        <w:rPr>
          <w:rFonts w:ascii="Arial" w:hAnsi="Arial" w:cs="Arial"/>
          <w:b/>
          <w:lang w:eastAsia="cs-CZ"/>
        </w:rPr>
        <w:t>3</w:t>
      </w:r>
      <w:r w:rsidR="003B0921" w:rsidRPr="00163DF0">
        <w:rPr>
          <w:rFonts w:ascii="Arial" w:hAnsi="Arial" w:cs="Arial"/>
          <w:b/>
          <w:lang w:eastAsia="cs-CZ"/>
        </w:rPr>
        <w:t xml:space="preserve"> </w:t>
      </w:r>
      <w:r w:rsidR="007D7580">
        <w:rPr>
          <w:rFonts w:ascii="Arial" w:hAnsi="Arial" w:cs="Arial"/>
          <w:b/>
          <w:lang w:eastAsia="cs-CZ"/>
        </w:rPr>
        <w:t xml:space="preserve">tisíc </w:t>
      </w:r>
      <w:r w:rsidR="00157F61">
        <w:rPr>
          <w:rFonts w:ascii="Arial" w:hAnsi="Arial" w:cs="Arial"/>
          <w:b/>
          <w:lang w:eastAsia="cs-CZ"/>
        </w:rPr>
        <w:t xml:space="preserve">bytů, řada </w:t>
      </w:r>
      <w:r w:rsidR="003B0921" w:rsidRPr="00163DF0">
        <w:rPr>
          <w:rFonts w:ascii="Arial" w:hAnsi="Arial" w:cs="Arial"/>
          <w:b/>
          <w:lang w:eastAsia="cs-CZ"/>
        </w:rPr>
        <w:t>restaurací a obchodů, veřejný prostor, zeleň, zkrátka vše, co k dnešnímu modernímu životu patří.</w:t>
      </w:r>
    </w:p>
    <w:p w:rsidR="003B0921" w:rsidRDefault="003B0921" w:rsidP="0065030F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163DF0" w:rsidRDefault="00D418C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63DF0">
        <w:rPr>
          <w:rFonts w:ascii="Arial" w:hAnsi="Arial" w:cs="Arial"/>
          <w:lang w:eastAsia="cs-CZ"/>
        </w:rPr>
        <w:t xml:space="preserve">Budoucnost rozvoje Prahy </w:t>
      </w:r>
      <w:r w:rsidR="00163DF0">
        <w:rPr>
          <w:rFonts w:ascii="Arial" w:hAnsi="Arial" w:cs="Arial"/>
          <w:lang w:eastAsia="cs-CZ"/>
        </w:rPr>
        <w:t xml:space="preserve">totiž </w:t>
      </w:r>
      <w:r w:rsidRPr="00163DF0">
        <w:rPr>
          <w:rFonts w:ascii="Arial" w:hAnsi="Arial" w:cs="Arial"/>
          <w:lang w:eastAsia="cs-CZ"/>
        </w:rPr>
        <w:t xml:space="preserve">leží </w:t>
      </w:r>
      <w:r w:rsidR="00163DF0">
        <w:rPr>
          <w:rFonts w:ascii="Arial" w:hAnsi="Arial" w:cs="Arial"/>
          <w:lang w:eastAsia="cs-CZ"/>
        </w:rPr>
        <w:t xml:space="preserve">především </w:t>
      </w:r>
      <w:r w:rsidRPr="00163DF0">
        <w:rPr>
          <w:rFonts w:ascii="Arial" w:hAnsi="Arial" w:cs="Arial"/>
          <w:lang w:eastAsia="cs-CZ"/>
        </w:rPr>
        <w:t xml:space="preserve">na brownfieldech. Dnes jde o zanedbané, nepřístupné plochy, mnohdy s rozpadajícími se stavbami a kontaminací. </w:t>
      </w:r>
      <w:r w:rsidR="00163DF0" w:rsidRPr="00235253">
        <w:rPr>
          <w:rFonts w:ascii="Arial" w:hAnsi="Arial" w:cs="Arial"/>
          <w:i/>
          <w:lang w:eastAsia="cs-CZ"/>
        </w:rPr>
        <w:t>„</w:t>
      </w:r>
      <w:r w:rsidRPr="00235253">
        <w:rPr>
          <w:rFonts w:ascii="Arial" w:hAnsi="Arial" w:cs="Arial"/>
          <w:i/>
          <w:lang w:eastAsia="cs-CZ"/>
        </w:rPr>
        <w:t xml:space="preserve">Řada z nich ale leží poměrně blízko centra města, a ideálním řešením </w:t>
      </w:r>
      <w:r w:rsidR="00157F61" w:rsidRPr="00235253">
        <w:rPr>
          <w:rFonts w:ascii="Arial" w:hAnsi="Arial" w:cs="Arial"/>
          <w:i/>
          <w:lang w:eastAsia="cs-CZ"/>
        </w:rPr>
        <w:t xml:space="preserve">tak je jejich transformace v </w:t>
      </w:r>
      <w:r w:rsidRPr="00235253">
        <w:rPr>
          <w:rFonts w:ascii="Arial" w:hAnsi="Arial" w:cs="Arial"/>
          <w:i/>
          <w:lang w:eastAsia="cs-CZ"/>
        </w:rPr>
        <w:t>nové městské čtvrti. Do centra přece patří život, a ne staré výrobní provozy</w:t>
      </w:r>
      <w:r w:rsidR="00163DF0" w:rsidRPr="00235253">
        <w:rPr>
          <w:rFonts w:ascii="Arial" w:hAnsi="Arial" w:cs="Arial"/>
          <w:i/>
          <w:lang w:eastAsia="cs-CZ"/>
        </w:rPr>
        <w:t>,“</w:t>
      </w:r>
      <w:r w:rsidR="00163DF0">
        <w:rPr>
          <w:rFonts w:ascii="Arial" w:hAnsi="Arial" w:cs="Arial"/>
          <w:lang w:eastAsia="cs-CZ"/>
        </w:rPr>
        <w:t xml:space="preserve"> řekl šéf </w:t>
      </w:r>
      <w:proofErr w:type="spellStart"/>
      <w:r w:rsidR="00163DF0">
        <w:rPr>
          <w:rFonts w:ascii="Arial" w:hAnsi="Arial" w:cs="Arial"/>
          <w:lang w:eastAsia="cs-CZ"/>
        </w:rPr>
        <w:t>Central</w:t>
      </w:r>
      <w:proofErr w:type="spellEnd"/>
      <w:r w:rsidR="00163DF0">
        <w:rPr>
          <w:rFonts w:ascii="Arial" w:hAnsi="Arial" w:cs="Arial"/>
          <w:lang w:eastAsia="cs-CZ"/>
        </w:rPr>
        <w:t xml:space="preserve"> Group Dušan Kunovský</w:t>
      </w:r>
      <w:r w:rsidRPr="00163DF0">
        <w:rPr>
          <w:rFonts w:ascii="Arial" w:hAnsi="Arial" w:cs="Arial"/>
          <w:lang w:eastAsia="cs-CZ"/>
        </w:rPr>
        <w:t>.</w:t>
      </w:r>
      <w:r w:rsidR="00A274F4">
        <w:rPr>
          <w:rFonts w:ascii="Arial" w:hAnsi="Arial" w:cs="Arial"/>
          <w:lang w:eastAsia="cs-CZ"/>
        </w:rPr>
        <w:t xml:space="preserve"> Aktuálně </w:t>
      </w:r>
      <w:proofErr w:type="spellStart"/>
      <w:r w:rsidR="00A274F4">
        <w:rPr>
          <w:rFonts w:ascii="Arial" w:hAnsi="Arial" w:cs="Arial"/>
          <w:lang w:eastAsia="cs-CZ"/>
        </w:rPr>
        <w:t>Central</w:t>
      </w:r>
      <w:proofErr w:type="spellEnd"/>
      <w:r w:rsidR="00A274F4">
        <w:rPr>
          <w:rFonts w:ascii="Arial" w:hAnsi="Arial" w:cs="Arial"/>
          <w:lang w:eastAsia="cs-CZ"/>
        </w:rPr>
        <w:t xml:space="preserve"> Group jedná o nákupu dalšího velkého brownfieldu.</w:t>
      </w:r>
      <w:r w:rsidR="00163DF0">
        <w:rPr>
          <w:rFonts w:ascii="Arial" w:hAnsi="Arial" w:cs="Arial"/>
          <w:lang w:eastAsia="cs-CZ"/>
        </w:rPr>
        <w:t xml:space="preserve"> </w:t>
      </w:r>
    </w:p>
    <w:p w:rsidR="00163DF0" w:rsidRDefault="00163DF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C7040" w:rsidRDefault="00AC704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0DFFCB6D" wp14:editId="26EB7418">
            <wp:extent cx="5969542" cy="4352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669" b="3489"/>
                    <a:stretch/>
                  </pic:blipFill>
                  <pic:spPr bwMode="auto">
                    <a:xfrm>
                      <a:off x="0" y="0"/>
                      <a:ext cx="5972810" cy="435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DF0" w:rsidRPr="00757D74" w:rsidRDefault="00757D74" w:rsidP="00757D74">
      <w:pPr>
        <w:pStyle w:val="Titulek"/>
        <w:jc w:val="center"/>
        <w:rPr>
          <w:rFonts w:ascii="Arial" w:hAnsi="Arial" w:cs="Arial"/>
          <w:i w:val="0"/>
          <w:color w:val="auto"/>
          <w:lang w:eastAsia="cs-CZ"/>
        </w:rPr>
      </w:pPr>
      <w:r w:rsidRPr="00757D74">
        <w:rPr>
          <w:i w:val="0"/>
          <w:color w:val="auto"/>
        </w:rPr>
        <w:t xml:space="preserve">                                                                                                                                          </w:t>
      </w:r>
      <w:r w:rsidR="00AC7040">
        <w:rPr>
          <w:i w:val="0"/>
          <w:color w:val="auto"/>
        </w:rPr>
        <w:t xml:space="preserve">                  </w:t>
      </w:r>
      <w:r w:rsidR="0082218A">
        <w:rPr>
          <w:i w:val="0"/>
          <w:color w:val="auto"/>
        </w:rPr>
        <w:t xml:space="preserve">Hlavní </w:t>
      </w:r>
      <w:proofErr w:type="spellStart"/>
      <w:r w:rsidR="0082218A">
        <w:rPr>
          <w:i w:val="0"/>
          <w:color w:val="auto"/>
        </w:rPr>
        <w:t>b</w:t>
      </w:r>
      <w:r w:rsidRPr="00757D74">
        <w:rPr>
          <w:i w:val="0"/>
          <w:color w:val="auto"/>
        </w:rPr>
        <w:t>rownfieldy</w:t>
      </w:r>
      <w:proofErr w:type="spellEnd"/>
      <w:r w:rsidRPr="00757D74">
        <w:rPr>
          <w:i w:val="0"/>
          <w:color w:val="auto"/>
        </w:rPr>
        <w:t xml:space="preserve"> v držení </w:t>
      </w:r>
      <w:proofErr w:type="spellStart"/>
      <w:r w:rsidRPr="00757D74">
        <w:rPr>
          <w:i w:val="0"/>
          <w:color w:val="auto"/>
        </w:rPr>
        <w:t>Central</w:t>
      </w:r>
      <w:proofErr w:type="spellEnd"/>
      <w:r w:rsidRPr="00757D74">
        <w:rPr>
          <w:i w:val="0"/>
          <w:color w:val="auto"/>
        </w:rPr>
        <w:t xml:space="preserve"> Group</w:t>
      </w:r>
    </w:p>
    <w:p w:rsidR="00163DF0" w:rsidRDefault="00163DF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57F61" w:rsidRDefault="00D418C2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63DF0">
        <w:rPr>
          <w:rFonts w:ascii="Arial" w:hAnsi="Arial" w:cs="Arial"/>
          <w:lang w:eastAsia="cs-CZ"/>
        </w:rPr>
        <w:lastRenderedPageBreak/>
        <w:t>I podle zahraničních urbanistů má Praha v tomto směru oproti velkým městům v </w:t>
      </w:r>
      <w:r w:rsidR="00B41AE0" w:rsidRPr="00163DF0">
        <w:rPr>
          <w:rFonts w:ascii="Arial" w:hAnsi="Arial" w:cs="Arial"/>
          <w:lang w:eastAsia="cs-CZ"/>
        </w:rPr>
        <w:t>cizině</w:t>
      </w:r>
      <w:r w:rsidRPr="00163DF0">
        <w:rPr>
          <w:rFonts w:ascii="Arial" w:hAnsi="Arial" w:cs="Arial"/>
          <w:lang w:eastAsia="cs-CZ"/>
        </w:rPr>
        <w:t xml:space="preserve"> velkou výhodu</w:t>
      </w:r>
      <w:r w:rsidR="00F90A69">
        <w:rPr>
          <w:rFonts w:ascii="Arial" w:hAnsi="Arial" w:cs="Arial"/>
          <w:lang w:eastAsia="cs-CZ"/>
        </w:rPr>
        <w:t>. Má totiž velké nevyužívané rozvojové plochy blízko centra</w:t>
      </w:r>
      <w:r w:rsidRPr="00163DF0">
        <w:rPr>
          <w:rFonts w:ascii="Arial" w:hAnsi="Arial" w:cs="Arial"/>
          <w:lang w:eastAsia="cs-CZ"/>
        </w:rPr>
        <w:t>. Může t</w:t>
      </w:r>
      <w:r w:rsidR="00F90A69">
        <w:rPr>
          <w:rFonts w:ascii="Arial" w:hAnsi="Arial" w:cs="Arial"/>
          <w:lang w:eastAsia="cs-CZ"/>
        </w:rPr>
        <w:t>ak</w:t>
      </w:r>
      <w:r w:rsidRPr="00163DF0">
        <w:rPr>
          <w:rFonts w:ascii="Arial" w:hAnsi="Arial" w:cs="Arial"/>
          <w:lang w:eastAsia="cs-CZ"/>
        </w:rPr>
        <w:t xml:space="preserve"> soustředit rozvoj do prstence kolem </w:t>
      </w:r>
      <w:r w:rsidR="00F90A69">
        <w:rPr>
          <w:rFonts w:ascii="Arial" w:hAnsi="Arial" w:cs="Arial"/>
          <w:lang w:eastAsia="cs-CZ"/>
        </w:rPr>
        <w:t>středu města</w:t>
      </w:r>
      <w:r w:rsidRPr="00163DF0">
        <w:rPr>
          <w:rFonts w:ascii="Arial" w:hAnsi="Arial" w:cs="Arial"/>
          <w:lang w:eastAsia="cs-CZ"/>
        </w:rPr>
        <w:t xml:space="preserve"> a nemusí se roz</w:t>
      </w:r>
      <w:r w:rsidR="00B41AE0" w:rsidRPr="00163DF0">
        <w:rPr>
          <w:rFonts w:ascii="Arial" w:hAnsi="Arial" w:cs="Arial"/>
          <w:lang w:eastAsia="cs-CZ"/>
        </w:rPr>
        <w:t>šiřovat</w:t>
      </w:r>
      <w:r w:rsidRPr="00163DF0">
        <w:rPr>
          <w:rFonts w:ascii="Arial" w:hAnsi="Arial" w:cs="Arial"/>
          <w:lang w:eastAsia="cs-CZ"/>
        </w:rPr>
        <w:t xml:space="preserve"> do krajiny</w:t>
      </w:r>
      <w:r w:rsidR="00157F61">
        <w:rPr>
          <w:rFonts w:ascii="Arial" w:hAnsi="Arial" w:cs="Arial"/>
          <w:lang w:eastAsia="cs-CZ"/>
        </w:rPr>
        <w:t>, nebo přidávat patra na stávající zástavbu či stavět nové budovy ve vnitroblocích</w:t>
      </w:r>
      <w:r w:rsidRPr="00163DF0">
        <w:rPr>
          <w:rFonts w:ascii="Arial" w:hAnsi="Arial" w:cs="Arial"/>
          <w:lang w:eastAsia="cs-CZ"/>
        </w:rPr>
        <w:t>.</w:t>
      </w:r>
      <w:r w:rsidR="00157F61">
        <w:rPr>
          <w:rFonts w:ascii="Arial" w:hAnsi="Arial" w:cs="Arial"/>
          <w:lang w:eastAsia="cs-CZ"/>
        </w:rPr>
        <w:t xml:space="preserve"> Touto cestou se rozvoj ubírá v podobně velkých městech na západ od našich hranic, kde již urbanisté vyčerpali zásoby vhodných pozemků k transformaci. </w:t>
      </w:r>
      <w:r w:rsidR="0082218A">
        <w:rPr>
          <w:rFonts w:ascii="Arial" w:hAnsi="Arial" w:cs="Arial"/>
          <w:lang w:eastAsia="cs-CZ"/>
        </w:rPr>
        <w:t xml:space="preserve">Výstavba na brownfieldech v širším centru města je přitom pro město levnější. V místě totiž na rozdíl od výstavby na zelené louce vede infrastruktura a existuje zde kapacitní veřejná doprava. </w:t>
      </w:r>
    </w:p>
    <w:p w:rsidR="00F90A69" w:rsidRDefault="00F90A6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63DF0" w:rsidRDefault="00163DF0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Problémem ale je, že Praha s těmito plochami nic nedělá. Rozvojová území, která byla po revoluci definována jako podklad pro tvorbu nyní platného územního plánu, jsou totiž </w:t>
      </w:r>
      <w:r w:rsidR="00157F61">
        <w:rPr>
          <w:rFonts w:ascii="Arial" w:hAnsi="Arial" w:cs="Arial"/>
          <w:lang w:eastAsia="cs-CZ"/>
        </w:rPr>
        <w:t>aktuálně</w:t>
      </w:r>
      <w:r>
        <w:rPr>
          <w:rFonts w:ascii="Arial" w:hAnsi="Arial" w:cs="Arial"/>
          <w:lang w:eastAsia="cs-CZ"/>
        </w:rPr>
        <w:t>, po více než 20 letech, v podstatě nedotčená.</w:t>
      </w:r>
      <w:r w:rsidR="00F67E4A">
        <w:rPr>
          <w:rFonts w:ascii="Arial" w:hAnsi="Arial" w:cs="Arial"/>
          <w:lang w:eastAsia="cs-CZ"/>
        </w:rPr>
        <w:t xml:space="preserve"> Vedení města alespoň v poslední době veřejně deklaruje podporu rozvoje právě na těchto plochách a proti předchozím letům je zde tedy </w:t>
      </w:r>
      <w:r w:rsidR="00DF0C5A">
        <w:rPr>
          <w:rFonts w:ascii="Arial" w:hAnsi="Arial" w:cs="Arial"/>
          <w:lang w:eastAsia="cs-CZ"/>
        </w:rPr>
        <w:t>alespoň mírný</w:t>
      </w:r>
      <w:r w:rsidR="00F67E4A">
        <w:rPr>
          <w:rFonts w:ascii="Arial" w:hAnsi="Arial" w:cs="Arial"/>
          <w:lang w:eastAsia="cs-CZ"/>
        </w:rPr>
        <w:t xml:space="preserve"> posun. </w:t>
      </w:r>
      <w:r>
        <w:rPr>
          <w:rFonts w:ascii="Arial" w:hAnsi="Arial" w:cs="Arial"/>
          <w:lang w:eastAsia="cs-CZ"/>
        </w:rPr>
        <w:t xml:space="preserve"> </w:t>
      </w:r>
    </w:p>
    <w:p w:rsidR="00F67E4A" w:rsidRDefault="00F67E4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67E4A" w:rsidRDefault="00B8152E" w:rsidP="0082218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Důvodem pro uvalení stavebních uzávěr </w:t>
      </w:r>
      <w:r w:rsidR="0003085D">
        <w:rPr>
          <w:rFonts w:ascii="Arial" w:hAnsi="Arial" w:cs="Arial"/>
          <w:lang w:eastAsia="cs-CZ"/>
        </w:rPr>
        <w:t>byla</w:t>
      </w:r>
      <w:r>
        <w:rPr>
          <w:rFonts w:ascii="Arial" w:hAnsi="Arial" w:cs="Arial"/>
          <w:lang w:eastAsia="cs-CZ"/>
        </w:rPr>
        <w:t xml:space="preserve"> ve většině případů snaha řešit území komplexně</w:t>
      </w:r>
      <w:r w:rsidR="0003085D">
        <w:rPr>
          <w:rFonts w:ascii="Arial" w:hAnsi="Arial" w:cs="Arial"/>
          <w:lang w:eastAsia="cs-CZ"/>
        </w:rPr>
        <w:t>. Za mnoho let však u velké většiny projektů nedošlo k žádnému posunu.</w:t>
      </w:r>
      <w:r>
        <w:rPr>
          <w:rFonts w:ascii="Arial" w:hAnsi="Arial" w:cs="Arial"/>
          <w:lang w:eastAsia="cs-CZ"/>
        </w:rPr>
        <w:t xml:space="preserve"> </w:t>
      </w:r>
      <w:r w:rsidR="00F67E4A">
        <w:rPr>
          <w:rFonts w:ascii="Arial" w:hAnsi="Arial" w:cs="Arial"/>
          <w:lang w:eastAsia="cs-CZ"/>
        </w:rPr>
        <w:t xml:space="preserve">Na druhou stranu je třeba si uvědomit, že výstavba na brownfieldech projekty zdražuje, a to podle výzkumu KPMG a CEEC </w:t>
      </w:r>
      <w:proofErr w:type="spellStart"/>
      <w:r w:rsidR="00F67E4A">
        <w:rPr>
          <w:rFonts w:ascii="Arial" w:hAnsi="Arial" w:cs="Arial"/>
          <w:lang w:eastAsia="cs-CZ"/>
        </w:rPr>
        <w:t>Research</w:t>
      </w:r>
      <w:proofErr w:type="spellEnd"/>
      <w:r w:rsidR="00F67E4A">
        <w:rPr>
          <w:rFonts w:ascii="Arial" w:hAnsi="Arial" w:cs="Arial"/>
          <w:lang w:eastAsia="cs-CZ"/>
        </w:rPr>
        <w:t xml:space="preserve"> až o 17 procent. Je třeba provést dekontaminaci a demolici stávajících nevyhovujících objektů.</w:t>
      </w:r>
      <w:r w:rsidR="008771CE">
        <w:rPr>
          <w:rFonts w:ascii="Arial" w:hAnsi="Arial" w:cs="Arial"/>
          <w:lang w:eastAsia="cs-CZ"/>
        </w:rPr>
        <w:t xml:space="preserve"> Město by tedy naopak mělo podpořit soukromé investice, které jsou ochotny tyto náklady pokrýt.</w:t>
      </w:r>
    </w:p>
    <w:p w:rsidR="0082218A" w:rsidRDefault="0082218A" w:rsidP="0082218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2218A" w:rsidRPr="0082218A" w:rsidRDefault="0082218A" w:rsidP="008221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cs-CZ"/>
        </w:rPr>
      </w:pPr>
      <w:r w:rsidRPr="0082218A">
        <w:rPr>
          <w:rFonts w:ascii="Arial" w:hAnsi="Arial" w:cs="Arial"/>
          <w:b/>
          <w:lang w:eastAsia="cs-CZ"/>
        </w:rPr>
        <w:t>V Praze je v přípravě 84 tisíc bytů, 60 procent z nich na brownfieldech</w:t>
      </w:r>
    </w:p>
    <w:p w:rsidR="0082218A" w:rsidRDefault="0082218A" w:rsidP="008221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82218A" w:rsidRPr="0082218A" w:rsidRDefault="0082218A" w:rsidP="008221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Celkem mají developeři v Praze v různé fázi přípravy více než 84 tisíc bytů, z nich přes 60 procent připadá právě na brownfieldy. Tyto projekty by byly schopny pojmout více než 100 tisíc nových obyvatel a při současném tempu prodeje nových bytů by pokryly potřebu na devět let. Vyplývá to z dlouhodobé analýzy připravovaných projektů, kterou</w:t>
      </w:r>
      <w:r w:rsidR="008771CE">
        <w:rPr>
          <w:rFonts w:ascii="Arial" w:hAnsi="Arial" w:cs="Arial"/>
          <w:lang w:eastAsia="cs-CZ"/>
        </w:rPr>
        <w:t xml:space="preserve"> pravidelně </w:t>
      </w:r>
      <w:r>
        <w:rPr>
          <w:rFonts w:ascii="Arial" w:hAnsi="Arial" w:cs="Arial"/>
          <w:lang w:eastAsia="cs-CZ"/>
        </w:rPr>
        <w:t>zpracov</w:t>
      </w:r>
      <w:r w:rsidR="008771CE">
        <w:rPr>
          <w:rFonts w:ascii="Arial" w:hAnsi="Arial" w:cs="Arial"/>
          <w:lang w:eastAsia="cs-CZ"/>
        </w:rPr>
        <w:t>ává</w:t>
      </w:r>
      <w:r>
        <w:rPr>
          <w:rFonts w:ascii="Arial" w:hAnsi="Arial" w:cs="Arial"/>
          <w:lang w:eastAsia="cs-CZ"/>
        </w:rPr>
        <w:t xml:space="preserve">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Group. Téměř čtvrtinu všech bytů, jež se chystají v transformačních zónách, připravuje právě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Group. Nejvíce bytů na brownfieldech se připravuje na </w:t>
      </w:r>
      <w:r w:rsidRPr="0082218A">
        <w:rPr>
          <w:rFonts w:ascii="Arial" w:eastAsia="MyriadPro-Regular" w:hAnsi="Arial" w:cs="Arial"/>
        </w:rPr>
        <w:t>Žižkov</w:t>
      </w:r>
      <w:r>
        <w:rPr>
          <w:rFonts w:ascii="Arial" w:eastAsia="MyriadPro-Regular" w:hAnsi="Arial" w:cs="Arial"/>
        </w:rPr>
        <w:t>ě</w:t>
      </w:r>
      <w:r w:rsidRPr="0082218A">
        <w:rPr>
          <w:rFonts w:ascii="Arial" w:eastAsia="MyriadPro-Regular" w:hAnsi="Arial" w:cs="Arial"/>
        </w:rPr>
        <w:t xml:space="preserve">, </w:t>
      </w:r>
      <w:r>
        <w:rPr>
          <w:rFonts w:ascii="Arial" w:eastAsia="MyriadPro-Regular" w:hAnsi="Arial" w:cs="Arial"/>
        </w:rPr>
        <w:t xml:space="preserve">v </w:t>
      </w:r>
      <w:r w:rsidRPr="0082218A">
        <w:rPr>
          <w:rFonts w:ascii="Arial" w:eastAsia="MyriadPro-Regular" w:hAnsi="Arial" w:cs="Arial"/>
        </w:rPr>
        <w:t>Holešovic</w:t>
      </w:r>
      <w:r>
        <w:rPr>
          <w:rFonts w:ascii="Arial" w:eastAsia="MyriadPro-Regular" w:hAnsi="Arial" w:cs="Arial"/>
        </w:rPr>
        <w:t>ích</w:t>
      </w:r>
      <w:r w:rsidRPr="0082218A">
        <w:rPr>
          <w:rFonts w:ascii="Arial" w:eastAsia="MyriadPro-Regular" w:hAnsi="Arial" w:cs="Arial"/>
        </w:rPr>
        <w:t>, Ruzyn</w:t>
      </w:r>
      <w:r>
        <w:rPr>
          <w:rFonts w:ascii="Arial" w:eastAsia="MyriadPro-Regular" w:hAnsi="Arial" w:cs="Arial"/>
        </w:rPr>
        <w:t>i</w:t>
      </w:r>
      <w:r w:rsidRPr="0082218A">
        <w:rPr>
          <w:rFonts w:ascii="Arial" w:eastAsia="MyriadPro-Regular" w:hAnsi="Arial" w:cs="Arial"/>
        </w:rPr>
        <w:t xml:space="preserve">, </w:t>
      </w:r>
      <w:r>
        <w:rPr>
          <w:rFonts w:ascii="Arial" w:eastAsia="MyriadPro-Regular" w:hAnsi="Arial" w:cs="Arial"/>
        </w:rPr>
        <w:t>na Smí</w:t>
      </w:r>
      <w:r w:rsidRPr="0082218A">
        <w:rPr>
          <w:rFonts w:ascii="Arial" w:eastAsia="MyriadPro-Regular" w:hAnsi="Arial" w:cs="Arial"/>
        </w:rPr>
        <w:t>chov</w:t>
      </w:r>
      <w:r>
        <w:rPr>
          <w:rFonts w:ascii="Arial" w:eastAsia="MyriadPro-Regular" w:hAnsi="Arial" w:cs="Arial"/>
        </w:rPr>
        <w:t>ě a ve</w:t>
      </w:r>
      <w:r w:rsidRPr="0082218A">
        <w:rPr>
          <w:rFonts w:ascii="Arial" w:eastAsia="MyriadPro-Regular" w:hAnsi="Arial" w:cs="Arial"/>
        </w:rPr>
        <w:t xml:space="preserve"> Vysočan</w:t>
      </w:r>
      <w:r>
        <w:rPr>
          <w:rFonts w:ascii="Arial" w:eastAsia="MyriadPro-Regular" w:hAnsi="Arial" w:cs="Arial"/>
        </w:rPr>
        <w:t>ech.</w:t>
      </w:r>
    </w:p>
    <w:p w:rsidR="00F81943" w:rsidRDefault="00F81943" w:rsidP="0082218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81943" w:rsidRDefault="00F81943" w:rsidP="0082218A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jen do nákupu svých osmi </w:t>
      </w:r>
      <w:r w:rsidR="008771CE">
        <w:rPr>
          <w:rFonts w:ascii="Arial" w:hAnsi="Arial" w:cs="Arial"/>
          <w:lang w:eastAsia="cs-CZ"/>
        </w:rPr>
        <w:t xml:space="preserve">hlavních </w:t>
      </w:r>
      <w:r>
        <w:rPr>
          <w:rFonts w:ascii="Arial" w:hAnsi="Arial" w:cs="Arial"/>
          <w:lang w:eastAsia="cs-CZ"/>
        </w:rPr>
        <w:t>brownfieldů investoval</w:t>
      </w:r>
      <w:r w:rsidR="000015E3">
        <w:rPr>
          <w:rFonts w:ascii="Arial" w:hAnsi="Arial" w:cs="Arial"/>
          <w:lang w:eastAsia="cs-CZ"/>
        </w:rPr>
        <w:t xml:space="preserve"> </w:t>
      </w:r>
      <w:r w:rsidR="008771CE">
        <w:rPr>
          <w:rFonts w:ascii="Arial" w:hAnsi="Arial" w:cs="Arial"/>
          <w:lang w:eastAsia="cs-CZ"/>
        </w:rPr>
        <w:t>více než</w:t>
      </w:r>
      <w:r w:rsidR="000015E3">
        <w:rPr>
          <w:rFonts w:ascii="Arial" w:hAnsi="Arial" w:cs="Arial"/>
          <w:lang w:eastAsia="cs-CZ"/>
        </w:rPr>
        <w:t xml:space="preserve"> pět miliard korun.</w:t>
      </w:r>
      <w:r w:rsidR="0085531B">
        <w:rPr>
          <w:rFonts w:ascii="Arial" w:hAnsi="Arial" w:cs="Arial"/>
          <w:lang w:eastAsia="cs-CZ"/>
        </w:rPr>
        <w:t xml:space="preserve"> </w:t>
      </w:r>
      <w:r w:rsidR="00791E12">
        <w:rPr>
          <w:rFonts w:ascii="Arial" w:hAnsi="Arial" w:cs="Arial"/>
          <w:lang w:eastAsia="cs-CZ"/>
        </w:rPr>
        <w:t>Nejdále je aktuálně příprava Parkové čtvrti na severní části Nákladového nádraží Žižkov, kde by mohlo vzniknout 2100 až 2600 bytů, 3000 m2 komerčních ploch pro obchody a služby v přízemí bytových domů</w:t>
      </w:r>
      <w:r w:rsidR="00DF0C5A">
        <w:rPr>
          <w:rFonts w:ascii="Arial" w:hAnsi="Arial" w:cs="Arial"/>
          <w:lang w:eastAsia="cs-CZ"/>
        </w:rPr>
        <w:t>, m</w:t>
      </w:r>
      <w:r w:rsidR="00791E12">
        <w:rPr>
          <w:rFonts w:ascii="Arial" w:hAnsi="Arial" w:cs="Arial"/>
          <w:lang w:eastAsia="cs-CZ"/>
        </w:rPr>
        <w:t xml:space="preserve">ateřská škola se zahradou a 14 tisíc m2 velký veřejný park. Autorem urbanistické koncepce je architekt Jakub Cigler, vnější podobu bytovým domům dá celá řada </w:t>
      </w:r>
      <w:r w:rsidR="00DF0C5A">
        <w:rPr>
          <w:rFonts w:ascii="Arial" w:hAnsi="Arial" w:cs="Arial"/>
          <w:lang w:eastAsia="cs-CZ"/>
        </w:rPr>
        <w:t xml:space="preserve">renomovaných </w:t>
      </w:r>
      <w:r w:rsidR="00791E12">
        <w:rPr>
          <w:rFonts w:ascii="Arial" w:hAnsi="Arial" w:cs="Arial"/>
          <w:lang w:eastAsia="cs-CZ"/>
        </w:rPr>
        <w:t>českých architektonických ateliérů</w:t>
      </w:r>
      <w:r w:rsidR="00DF0C5A">
        <w:rPr>
          <w:rFonts w:ascii="Arial" w:hAnsi="Arial" w:cs="Arial"/>
          <w:lang w:eastAsia="cs-CZ"/>
        </w:rPr>
        <w:t xml:space="preserve"> – to je </w:t>
      </w:r>
      <w:r w:rsidR="00DF0C5A" w:rsidRPr="00DF0C5A">
        <w:rPr>
          <w:rFonts w:ascii="Arial" w:hAnsi="Arial" w:cs="Arial"/>
          <w:lang w:eastAsia="cs-CZ"/>
        </w:rPr>
        <w:t xml:space="preserve">výsledek architektonického workshopu, který </w:t>
      </w:r>
      <w:proofErr w:type="spellStart"/>
      <w:r w:rsidR="00DF0C5A" w:rsidRPr="00DF0C5A">
        <w:rPr>
          <w:rFonts w:ascii="Arial" w:hAnsi="Arial" w:cs="Arial"/>
          <w:lang w:eastAsia="cs-CZ"/>
        </w:rPr>
        <w:t>C</w:t>
      </w:r>
      <w:r w:rsidR="00DF0C5A">
        <w:rPr>
          <w:rFonts w:ascii="Arial" w:hAnsi="Arial" w:cs="Arial"/>
          <w:lang w:eastAsia="cs-CZ"/>
        </w:rPr>
        <w:t>entral</w:t>
      </w:r>
      <w:proofErr w:type="spellEnd"/>
      <w:r w:rsidR="00DF0C5A">
        <w:rPr>
          <w:rFonts w:ascii="Arial" w:hAnsi="Arial" w:cs="Arial"/>
          <w:lang w:eastAsia="cs-CZ"/>
        </w:rPr>
        <w:t xml:space="preserve"> Group</w:t>
      </w:r>
      <w:r w:rsidR="00DF0C5A" w:rsidRPr="00DF0C5A">
        <w:rPr>
          <w:rFonts w:ascii="Arial" w:hAnsi="Arial" w:cs="Arial"/>
          <w:lang w:eastAsia="cs-CZ"/>
        </w:rPr>
        <w:t xml:space="preserve"> pro nalezení atraktivní podoby nové městské čtvrti pořádal</w:t>
      </w:r>
      <w:r w:rsidR="00791E12" w:rsidRPr="00DF0C5A">
        <w:rPr>
          <w:rFonts w:ascii="Arial" w:hAnsi="Arial" w:cs="Arial"/>
          <w:lang w:eastAsia="cs-CZ"/>
        </w:rPr>
        <w:t>. Investice</w:t>
      </w:r>
      <w:r w:rsidR="00791E12">
        <w:rPr>
          <w:rFonts w:ascii="Arial" w:hAnsi="Arial" w:cs="Arial"/>
          <w:lang w:eastAsia="cs-CZ"/>
        </w:rPr>
        <w:t xml:space="preserve"> by měla dosáhnout devíti miliard korun, stavba by mohla začít v ideálním případě již v roce 2019.</w:t>
      </w:r>
      <w:r w:rsidR="000015E3">
        <w:rPr>
          <w:rFonts w:ascii="Arial" w:hAnsi="Arial" w:cs="Arial"/>
          <w:lang w:eastAsia="cs-CZ"/>
        </w:rPr>
        <w:t xml:space="preserve"> </w:t>
      </w:r>
      <w:r w:rsidR="00791E12">
        <w:rPr>
          <w:rFonts w:ascii="Arial" w:hAnsi="Arial" w:cs="Arial"/>
          <w:lang w:eastAsia="cs-CZ"/>
        </w:rPr>
        <w:t>Projekt z pera předního českého architekta Josefa Pleskota je připraven také v případě Rezidence Park Kavčí Hory, kde se počítá s výstavbou 37</w:t>
      </w:r>
      <w:r w:rsidR="00DF0C5A">
        <w:rPr>
          <w:rFonts w:ascii="Arial" w:hAnsi="Arial" w:cs="Arial"/>
          <w:lang w:eastAsia="cs-CZ"/>
        </w:rPr>
        <w:t>0</w:t>
      </w:r>
      <w:r w:rsidR="008771CE">
        <w:rPr>
          <w:rFonts w:ascii="Arial" w:hAnsi="Arial" w:cs="Arial"/>
          <w:lang w:eastAsia="cs-CZ"/>
        </w:rPr>
        <w:t xml:space="preserve"> bytů a ř</w:t>
      </w:r>
      <w:r w:rsidR="00791E12">
        <w:rPr>
          <w:rFonts w:ascii="Arial" w:hAnsi="Arial" w:cs="Arial"/>
          <w:lang w:eastAsia="cs-CZ"/>
        </w:rPr>
        <w:t xml:space="preserve">ady obchodů v přízemí bytových domů.  </w:t>
      </w:r>
    </w:p>
    <w:bookmarkEnd w:id="0"/>
    <w:p w:rsidR="00DB05FC" w:rsidRDefault="00DB05FC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B05FC" w:rsidRDefault="00DB05FC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418C2" w:rsidRDefault="00D418C2" w:rsidP="0082218A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1" w:name="_GoBack"/>
      <w:bookmarkEnd w:id="1"/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6BE60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791E12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18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7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15E3"/>
    <w:rsid w:val="0000345B"/>
    <w:rsid w:val="0000781F"/>
    <w:rsid w:val="0002312D"/>
    <w:rsid w:val="00024764"/>
    <w:rsid w:val="000266CE"/>
    <w:rsid w:val="000267C4"/>
    <w:rsid w:val="0002687F"/>
    <w:rsid w:val="0003085D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53D9"/>
    <w:rsid w:val="00057673"/>
    <w:rsid w:val="000702CA"/>
    <w:rsid w:val="0007119F"/>
    <w:rsid w:val="0007250E"/>
    <w:rsid w:val="00075196"/>
    <w:rsid w:val="00075EC3"/>
    <w:rsid w:val="000778E1"/>
    <w:rsid w:val="00077F37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1B82"/>
    <w:rsid w:val="000F76D9"/>
    <w:rsid w:val="000F7DD9"/>
    <w:rsid w:val="0010798A"/>
    <w:rsid w:val="0011263C"/>
    <w:rsid w:val="0012269A"/>
    <w:rsid w:val="0012325C"/>
    <w:rsid w:val="001254FE"/>
    <w:rsid w:val="00126B39"/>
    <w:rsid w:val="00134324"/>
    <w:rsid w:val="00136B59"/>
    <w:rsid w:val="00136DD9"/>
    <w:rsid w:val="001374C1"/>
    <w:rsid w:val="00137D21"/>
    <w:rsid w:val="0014189D"/>
    <w:rsid w:val="00145D58"/>
    <w:rsid w:val="00147D32"/>
    <w:rsid w:val="0015386E"/>
    <w:rsid w:val="00154E05"/>
    <w:rsid w:val="00155FBC"/>
    <w:rsid w:val="00157F61"/>
    <w:rsid w:val="00160996"/>
    <w:rsid w:val="00163DF0"/>
    <w:rsid w:val="00167091"/>
    <w:rsid w:val="00167393"/>
    <w:rsid w:val="00167EA3"/>
    <w:rsid w:val="001709D1"/>
    <w:rsid w:val="00173480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5253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109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0221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761C"/>
    <w:rsid w:val="00320B75"/>
    <w:rsid w:val="0032321E"/>
    <w:rsid w:val="00333809"/>
    <w:rsid w:val="003344E8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921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4257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5423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1830"/>
    <w:rsid w:val="004F4589"/>
    <w:rsid w:val="0050068F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D029C"/>
    <w:rsid w:val="005E0538"/>
    <w:rsid w:val="005E05FE"/>
    <w:rsid w:val="005E2124"/>
    <w:rsid w:val="005F5002"/>
    <w:rsid w:val="005F730C"/>
    <w:rsid w:val="00603D66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2607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D81"/>
    <w:rsid w:val="00713F01"/>
    <w:rsid w:val="007143C3"/>
    <w:rsid w:val="0071453E"/>
    <w:rsid w:val="00716A16"/>
    <w:rsid w:val="007173A6"/>
    <w:rsid w:val="007235A6"/>
    <w:rsid w:val="0072485F"/>
    <w:rsid w:val="0073295D"/>
    <w:rsid w:val="00734007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57D74"/>
    <w:rsid w:val="0076032C"/>
    <w:rsid w:val="00761239"/>
    <w:rsid w:val="00762126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1E1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D27"/>
    <w:rsid w:val="007C2362"/>
    <w:rsid w:val="007C2B1D"/>
    <w:rsid w:val="007C45B0"/>
    <w:rsid w:val="007C5FFD"/>
    <w:rsid w:val="007C6D19"/>
    <w:rsid w:val="007D1A76"/>
    <w:rsid w:val="007D2825"/>
    <w:rsid w:val="007D62ED"/>
    <w:rsid w:val="007D7580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218A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31B"/>
    <w:rsid w:val="00855913"/>
    <w:rsid w:val="00857E38"/>
    <w:rsid w:val="00862EFD"/>
    <w:rsid w:val="00867A1B"/>
    <w:rsid w:val="008722DF"/>
    <w:rsid w:val="00873AC5"/>
    <w:rsid w:val="00876E2E"/>
    <w:rsid w:val="008771C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5CEA"/>
    <w:rsid w:val="008B7191"/>
    <w:rsid w:val="008C39D0"/>
    <w:rsid w:val="008C749F"/>
    <w:rsid w:val="008D1053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4C15"/>
    <w:rsid w:val="0091594A"/>
    <w:rsid w:val="009162E5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53E0"/>
    <w:rsid w:val="00966597"/>
    <w:rsid w:val="00967003"/>
    <w:rsid w:val="00967406"/>
    <w:rsid w:val="00974F08"/>
    <w:rsid w:val="009769C6"/>
    <w:rsid w:val="00977482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4F4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4B54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C7040"/>
    <w:rsid w:val="00AC74B4"/>
    <w:rsid w:val="00AD380C"/>
    <w:rsid w:val="00AD38CE"/>
    <w:rsid w:val="00AD3ACF"/>
    <w:rsid w:val="00AE045A"/>
    <w:rsid w:val="00AE1FD2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2E70"/>
    <w:rsid w:val="00B1425A"/>
    <w:rsid w:val="00B15BD1"/>
    <w:rsid w:val="00B161AD"/>
    <w:rsid w:val="00B21B82"/>
    <w:rsid w:val="00B21C90"/>
    <w:rsid w:val="00B222EB"/>
    <w:rsid w:val="00B238D8"/>
    <w:rsid w:val="00B25DBE"/>
    <w:rsid w:val="00B2708E"/>
    <w:rsid w:val="00B27B22"/>
    <w:rsid w:val="00B27D90"/>
    <w:rsid w:val="00B3135D"/>
    <w:rsid w:val="00B377B2"/>
    <w:rsid w:val="00B41391"/>
    <w:rsid w:val="00B4172D"/>
    <w:rsid w:val="00B41AE0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152E"/>
    <w:rsid w:val="00B824C4"/>
    <w:rsid w:val="00B85D8C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BF6DF1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353C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18C2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67AF6"/>
    <w:rsid w:val="00D72163"/>
    <w:rsid w:val="00D763B7"/>
    <w:rsid w:val="00D77055"/>
    <w:rsid w:val="00D77345"/>
    <w:rsid w:val="00D7770D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05FC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0C5A"/>
    <w:rsid w:val="00DF157C"/>
    <w:rsid w:val="00DF261B"/>
    <w:rsid w:val="00DF3B22"/>
    <w:rsid w:val="00DF4E13"/>
    <w:rsid w:val="00DF77B2"/>
    <w:rsid w:val="00DF7FC6"/>
    <w:rsid w:val="00E02DF7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56FD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64A2"/>
    <w:rsid w:val="00EA79D5"/>
    <w:rsid w:val="00EB00C7"/>
    <w:rsid w:val="00EB2BBE"/>
    <w:rsid w:val="00EB565C"/>
    <w:rsid w:val="00EB64B6"/>
    <w:rsid w:val="00EB6EE8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53E5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550F7"/>
    <w:rsid w:val="00F619C8"/>
    <w:rsid w:val="00F64DA9"/>
    <w:rsid w:val="00F66BB9"/>
    <w:rsid w:val="00F67E4A"/>
    <w:rsid w:val="00F71634"/>
    <w:rsid w:val="00F752EA"/>
    <w:rsid w:val="00F80AF7"/>
    <w:rsid w:val="00F81943"/>
    <w:rsid w:val="00F82D52"/>
    <w:rsid w:val="00F83112"/>
    <w:rsid w:val="00F86F64"/>
    <w:rsid w:val="00F90A69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4887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57D7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57D7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27A8-AD8B-4B46-97D5-FD7F6129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13611</TotalTime>
  <Pages>3</Pages>
  <Words>992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jezdik</cp:lastModifiedBy>
  <cp:revision>9</cp:revision>
  <cp:lastPrinted>2017-04-05T08:13:00Z</cp:lastPrinted>
  <dcterms:created xsi:type="dcterms:W3CDTF">2017-05-05T07:25:00Z</dcterms:created>
  <dcterms:modified xsi:type="dcterms:W3CDTF">2017-07-14T10:01:00Z</dcterms:modified>
</cp:coreProperties>
</file>