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Default="000C093A" w:rsidP="00EB5042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EB5042">
        <w:rPr>
          <w:rFonts w:ascii="Arial Black" w:hAnsi="Arial Black"/>
          <w:color w:val="000000" w:themeColor="text1"/>
          <w:sz w:val="28"/>
          <w:szCs w:val="28"/>
        </w:rPr>
        <w:t xml:space="preserve">dá 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na </w:t>
      </w:r>
      <w:r w:rsidR="007B1A39">
        <w:rPr>
          <w:rFonts w:ascii="Arial Black" w:hAnsi="Arial Black"/>
          <w:color w:val="000000" w:themeColor="text1"/>
          <w:sz w:val="28"/>
          <w:szCs w:val="28"/>
        </w:rPr>
        <w:t>jaře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 do prodeje</w:t>
      </w:r>
      <w:r w:rsidR="0065030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7B1A39">
        <w:rPr>
          <w:rFonts w:ascii="Arial Black" w:hAnsi="Arial Black"/>
          <w:color w:val="000000" w:themeColor="text1"/>
          <w:sz w:val="28"/>
          <w:szCs w:val="28"/>
        </w:rPr>
        <w:t>skoro 500</w:t>
      </w:r>
      <w:r w:rsidR="0065030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834DA3">
        <w:rPr>
          <w:rFonts w:ascii="Arial Black" w:hAnsi="Arial Black"/>
          <w:color w:val="000000" w:themeColor="text1"/>
          <w:sz w:val="28"/>
          <w:szCs w:val="28"/>
        </w:rPr>
        <w:t xml:space="preserve">bytů </w:t>
      </w:r>
      <w:r w:rsidR="0065030F">
        <w:rPr>
          <w:rFonts w:ascii="Arial Black" w:hAnsi="Arial Black"/>
          <w:color w:val="000000" w:themeColor="text1"/>
          <w:sz w:val="28"/>
          <w:szCs w:val="28"/>
        </w:rPr>
        <w:t>v</w:t>
      </w:r>
      <w:r w:rsidR="00EB5042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D21D3C">
        <w:rPr>
          <w:rFonts w:ascii="Arial Black" w:hAnsi="Arial Black"/>
          <w:color w:val="000000" w:themeColor="text1"/>
          <w:sz w:val="28"/>
          <w:szCs w:val="28"/>
        </w:rPr>
        <w:t>pěti</w:t>
      </w:r>
      <w:r w:rsidR="00EB5042">
        <w:rPr>
          <w:rFonts w:ascii="Arial Black" w:hAnsi="Arial Black"/>
          <w:color w:val="000000" w:themeColor="text1"/>
          <w:sz w:val="28"/>
          <w:szCs w:val="28"/>
        </w:rPr>
        <w:t xml:space="preserve"> lokalitách</w:t>
      </w:r>
    </w:p>
    <w:p w:rsidR="00EB5042" w:rsidRPr="001069E5" w:rsidRDefault="00EB5042" w:rsidP="00EB5042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0D3DC9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</w:t>
      </w:r>
      <w:r w:rsidR="00EB5042">
        <w:rPr>
          <w:rFonts w:ascii="Arial" w:hAnsi="Arial" w:cs="Arial"/>
          <w:i/>
          <w:lang w:eastAsia="cs-CZ"/>
        </w:rPr>
        <w:t xml:space="preserve"> </w:t>
      </w:r>
      <w:r w:rsidR="00697936">
        <w:rPr>
          <w:rFonts w:ascii="Arial" w:hAnsi="Arial" w:cs="Arial"/>
          <w:i/>
          <w:lang w:eastAsia="cs-CZ"/>
        </w:rPr>
        <w:t>2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3B04CF">
        <w:rPr>
          <w:rFonts w:ascii="Arial" w:hAnsi="Arial" w:cs="Arial"/>
          <w:i/>
          <w:lang w:eastAsia="cs-CZ"/>
        </w:rPr>
        <w:t>3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7B1A39">
        <w:rPr>
          <w:rFonts w:ascii="Arial" w:hAnsi="Arial" w:cs="Arial"/>
          <w:i/>
          <w:lang w:eastAsia="cs-CZ"/>
        </w:rPr>
        <w:t>7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24414E">
        <w:rPr>
          <w:rFonts w:ascii="Arial" w:hAnsi="Arial" w:cs="Arial"/>
          <w:i/>
          <w:lang w:eastAsia="cs-CZ"/>
        </w:rPr>
        <w:t xml:space="preserve"> </w:t>
      </w:r>
      <w:r w:rsidR="0024414E">
        <w:rPr>
          <w:rFonts w:ascii="Arial" w:hAnsi="Arial" w:cs="Arial"/>
          <w:b/>
          <w:lang w:eastAsia="cs-CZ"/>
        </w:rPr>
        <w:t>Té</w:t>
      </w:r>
      <w:r w:rsidR="0004606B">
        <w:rPr>
          <w:rFonts w:ascii="Arial" w:hAnsi="Arial" w:cs="Arial"/>
          <w:b/>
          <w:lang w:eastAsia="cs-CZ"/>
        </w:rPr>
        <w:t xml:space="preserve">měř </w:t>
      </w:r>
      <w:r w:rsidR="00121D08">
        <w:rPr>
          <w:rFonts w:ascii="Arial" w:hAnsi="Arial" w:cs="Arial"/>
          <w:b/>
          <w:lang w:eastAsia="cs-CZ"/>
        </w:rPr>
        <w:t>5</w:t>
      </w:r>
      <w:r w:rsidR="0004606B">
        <w:rPr>
          <w:rFonts w:ascii="Arial" w:hAnsi="Arial" w:cs="Arial"/>
          <w:b/>
          <w:lang w:eastAsia="cs-CZ"/>
        </w:rPr>
        <w:t>00</w:t>
      </w:r>
      <w:r w:rsidR="0065030F" w:rsidRPr="00F13267">
        <w:rPr>
          <w:rFonts w:ascii="Arial" w:hAnsi="Arial" w:cs="Arial"/>
          <w:b/>
          <w:lang w:eastAsia="cs-CZ"/>
        </w:rPr>
        <w:t xml:space="preserve"> </w:t>
      </w:r>
      <w:r w:rsidR="000D3DC9" w:rsidRPr="00F13267">
        <w:rPr>
          <w:rFonts w:ascii="Arial" w:hAnsi="Arial" w:cs="Arial"/>
          <w:b/>
          <w:lang w:eastAsia="cs-CZ"/>
        </w:rPr>
        <w:t>nových</w:t>
      </w:r>
      <w:r w:rsidR="00EB5042">
        <w:rPr>
          <w:rFonts w:ascii="Arial" w:hAnsi="Arial" w:cs="Arial"/>
          <w:b/>
          <w:lang w:eastAsia="cs-CZ"/>
        </w:rPr>
        <w:t xml:space="preserve"> bytů v</w:t>
      </w:r>
      <w:r w:rsidR="00F70EB6">
        <w:rPr>
          <w:rFonts w:ascii="Arial" w:hAnsi="Arial" w:cs="Arial"/>
          <w:b/>
          <w:lang w:eastAsia="cs-CZ"/>
        </w:rPr>
        <w:t xml:space="preserve"> pěti</w:t>
      </w:r>
      <w:r w:rsidR="0065030F">
        <w:rPr>
          <w:rFonts w:ascii="Arial" w:hAnsi="Arial" w:cs="Arial"/>
          <w:b/>
          <w:lang w:eastAsia="cs-CZ"/>
        </w:rPr>
        <w:t xml:space="preserve"> pražských lokalitách.</w:t>
      </w:r>
      <w:r w:rsidR="000D3DC9">
        <w:rPr>
          <w:rFonts w:ascii="Arial" w:hAnsi="Arial" w:cs="Arial"/>
          <w:b/>
          <w:lang w:eastAsia="cs-CZ"/>
        </w:rPr>
        <w:t xml:space="preserve"> To je nová </w:t>
      </w:r>
      <w:r w:rsidR="0004606B">
        <w:rPr>
          <w:rFonts w:ascii="Arial" w:hAnsi="Arial" w:cs="Arial"/>
          <w:b/>
          <w:lang w:eastAsia="cs-CZ"/>
        </w:rPr>
        <w:t>jarní</w:t>
      </w:r>
      <w:r w:rsidR="00EB5042">
        <w:rPr>
          <w:rFonts w:ascii="Arial" w:hAnsi="Arial" w:cs="Arial"/>
          <w:b/>
          <w:lang w:eastAsia="cs-CZ"/>
        </w:rPr>
        <w:t xml:space="preserve"> nabídka</w:t>
      </w:r>
      <w:r w:rsidR="000D3DC9">
        <w:rPr>
          <w:rFonts w:ascii="Arial" w:hAnsi="Arial" w:cs="Arial"/>
          <w:b/>
          <w:lang w:eastAsia="cs-CZ"/>
        </w:rPr>
        <w:t xml:space="preserve"> </w:t>
      </w:r>
      <w:proofErr w:type="spellStart"/>
      <w:r w:rsidR="000D3DC9">
        <w:rPr>
          <w:rFonts w:ascii="Arial" w:hAnsi="Arial" w:cs="Arial"/>
          <w:b/>
          <w:lang w:eastAsia="cs-CZ"/>
        </w:rPr>
        <w:t>Central</w:t>
      </w:r>
      <w:proofErr w:type="spellEnd"/>
      <w:r w:rsidR="000D3DC9">
        <w:rPr>
          <w:rFonts w:ascii="Arial" w:hAnsi="Arial" w:cs="Arial"/>
          <w:b/>
          <w:lang w:eastAsia="cs-CZ"/>
        </w:rPr>
        <w:t xml:space="preserve"> Group </w:t>
      </w:r>
      <w:r w:rsidR="008329A5">
        <w:rPr>
          <w:rFonts w:ascii="Arial" w:hAnsi="Arial" w:cs="Arial"/>
          <w:b/>
          <w:lang w:eastAsia="cs-CZ"/>
        </w:rPr>
        <w:t>–</w:t>
      </w:r>
      <w:r w:rsidR="000D3DC9">
        <w:rPr>
          <w:rFonts w:ascii="Arial" w:hAnsi="Arial" w:cs="Arial"/>
          <w:b/>
          <w:lang w:eastAsia="cs-CZ"/>
        </w:rPr>
        <w:t xml:space="preserve"> největšího domácího </w:t>
      </w:r>
      <w:r w:rsidR="006718AE">
        <w:rPr>
          <w:rFonts w:ascii="Arial" w:hAnsi="Arial" w:cs="Arial"/>
          <w:b/>
          <w:lang w:eastAsia="cs-CZ"/>
        </w:rPr>
        <w:t>stavitele bytů</w:t>
      </w:r>
      <w:r w:rsidR="000D3DC9">
        <w:rPr>
          <w:rFonts w:ascii="Arial" w:hAnsi="Arial" w:cs="Arial"/>
          <w:b/>
          <w:lang w:eastAsia="cs-CZ"/>
        </w:rPr>
        <w:t>. Pražský realitní trh oživí pokračování velkých úspěšných bytových projektů, jako jsou například Letňanské zahrady</w:t>
      </w:r>
      <w:r w:rsidR="0004606B">
        <w:rPr>
          <w:rFonts w:ascii="Arial" w:hAnsi="Arial" w:cs="Arial"/>
          <w:b/>
          <w:lang w:eastAsia="cs-CZ"/>
        </w:rPr>
        <w:t xml:space="preserve"> nebo Nad Modřanskou roklí</w:t>
      </w:r>
      <w:r w:rsidR="00EB5042">
        <w:rPr>
          <w:rFonts w:ascii="Arial" w:hAnsi="Arial" w:cs="Arial"/>
          <w:b/>
          <w:lang w:eastAsia="cs-CZ"/>
        </w:rPr>
        <w:t xml:space="preserve">, </w:t>
      </w:r>
      <w:r w:rsidR="00FC31BA">
        <w:rPr>
          <w:rFonts w:ascii="Arial" w:hAnsi="Arial" w:cs="Arial"/>
          <w:b/>
          <w:lang w:eastAsia="cs-CZ"/>
        </w:rPr>
        <w:t>ale i novinky v luxusním segmentu</w:t>
      </w:r>
      <w:r w:rsidR="000D3DC9">
        <w:rPr>
          <w:rFonts w:ascii="Arial" w:hAnsi="Arial" w:cs="Arial"/>
          <w:b/>
          <w:lang w:eastAsia="cs-CZ"/>
        </w:rPr>
        <w:t xml:space="preserve">. </w:t>
      </w:r>
      <w:r w:rsidR="00FD4BA6">
        <w:rPr>
          <w:rFonts w:ascii="Arial" w:hAnsi="Arial" w:cs="Arial"/>
          <w:b/>
          <w:lang w:eastAsia="cs-CZ"/>
        </w:rPr>
        <w:t xml:space="preserve">Spolu s aktuální nabídkou bude mít </w:t>
      </w:r>
      <w:r w:rsidR="00FC31BA">
        <w:rPr>
          <w:rFonts w:ascii="Arial" w:hAnsi="Arial" w:cs="Arial"/>
          <w:b/>
          <w:lang w:eastAsia="cs-CZ"/>
        </w:rPr>
        <w:t xml:space="preserve">firma </w:t>
      </w:r>
      <w:r w:rsidR="00FD4BA6">
        <w:rPr>
          <w:rFonts w:ascii="Arial" w:hAnsi="Arial" w:cs="Arial"/>
          <w:b/>
          <w:lang w:eastAsia="cs-CZ"/>
        </w:rPr>
        <w:t>v prodeji naráz</w:t>
      </w:r>
      <w:r w:rsidR="00FC31BA">
        <w:rPr>
          <w:rFonts w:ascii="Arial" w:hAnsi="Arial" w:cs="Arial"/>
          <w:b/>
          <w:lang w:eastAsia="cs-CZ"/>
        </w:rPr>
        <w:t xml:space="preserve"> </w:t>
      </w:r>
      <w:r w:rsidR="00FD4BA6">
        <w:rPr>
          <w:rFonts w:ascii="Arial" w:hAnsi="Arial" w:cs="Arial"/>
          <w:b/>
          <w:lang w:eastAsia="cs-CZ"/>
        </w:rPr>
        <w:t>skoro</w:t>
      </w:r>
      <w:r w:rsidR="00121D08">
        <w:rPr>
          <w:rFonts w:ascii="Arial" w:hAnsi="Arial" w:cs="Arial"/>
          <w:b/>
          <w:lang w:eastAsia="cs-CZ"/>
        </w:rPr>
        <w:t xml:space="preserve"> </w:t>
      </w:r>
      <w:r w:rsidR="00D21D3C">
        <w:rPr>
          <w:rFonts w:ascii="Arial" w:hAnsi="Arial" w:cs="Arial"/>
          <w:b/>
          <w:lang w:eastAsia="cs-CZ"/>
        </w:rPr>
        <w:t>8</w:t>
      </w:r>
      <w:r w:rsidR="00121D08">
        <w:rPr>
          <w:rFonts w:ascii="Arial" w:hAnsi="Arial" w:cs="Arial"/>
          <w:b/>
          <w:lang w:eastAsia="cs-CZ"/>
        </w:rPr>
        <w:t>00 bytů v</w:t>
      </w:r>
      <w:r w:rsidR="00FD4BA6">
        <w:rPr>
          <w:rFonts w:ascii="Arial" w:hAnsi="Arial" w:cs="Arial"/>
          <w:b/>
          <w:lang w:eastAsia="cs-CZ"/>
        </w:rPr>
        <w:t>e</w:t>
      </w:r>
      <w:r w:rsidR="00121D08">
        <w:rPr>
          <w:rFonts w:ascii="Arial" w:hAnsi="Arial" w:cs="Arial"/>
          <w:b/>
          <w:lang w:eastAsia="cs-CZ"/>
        </w:rPr>
        <w:t xml:space="preserve"> 1</w:t>
      </w:r>
      <w:r w:rsidR="00FD4BA6">
        <w:rPr>
          <w:rFonts w:ascii="Arial" w:hAnsi="Arial" w:cs="Arial"/>
          <w:b/>
          <w:lang w:eastAsia="cs-CZ"/>
        </w:rPr>
        <w:t>3</w:t>
      </w:r>
      <w:r w:rsidR="00EB5042">
        <w:rPr>
          <w:rFonts w:ascii="Arial" w:hAnsi="Arial" w:cs="Arial"/>
          <w:b/>
          <w:lang w:eastAsia="cs-CZ"/>
        </w:rPr>
        <w:t xml:space="preserve"> lokalitách. S výjimkou Prahy 1 bude </w:t>
      </w:r>
      <w:proofErr w:type="spellStart"/>
      <w:r w:rsidR="0024414E">
        <w:rPr>
          <w:rFonts w:ascii="Arial" w:hAnsi="Arial" w:cs="Arial"/>
          <w:b/>
          <w:lang w:eastAsia="cs-CZ"/>
        </w:rPr>
        <w:t>Central</w:t>
      </w:r>
      <w:proofErr w:type="spellEnd"/>
      <w:r w:rsidR="0024414E">
        <w:rPr>
          <w:rFonts w:ascii="Arial" w:hAnsi="Arial" w:cs="Arial"/>
          <w:b/>
          <w:lang w:eastAsia="cs-CZ"/>
        </w:rPr>
        <w:t xml:space="preserve"> Group nabízet </w:t>
      </w:r>
      <w:r w:rsidR="00EB5042">
        <w:rPr>
          <w:rFonts w:ascii="Arial" w:hAnsi="Arial" w:cs="Arial"/>
          <w:b/>
          <w:lang w:eastAsia="cs-CZ"/>
        </w:rPr>
        <w:t xml:space="preserve">byty ve všech </w:t>
      </w:r>
      <w:r w:rsidR="0004339F">
        <w:rPr>
          <w:rFonts w:ascii="Arial" w:hAnsi="Arial" w:cs="Arial"/>
          <w:b/>
          <w:lang w:eastAsia="cs-CZ"/>
        </w:rPr>
        <w:t xml:space="preserve">pražských </w:t>
      </w:r>
      <w:r w:rsidR="00EB5042">
        <w:rPr>
          <w:rFonts w:ascii="Arial" w:hAnsi="Arial" w:cs="Arial"/>
          <w:b/>
          <w:lang w:eastAsia="cs-CZ"/>
        </w:rPr>
        <w:t xml:space="preserve">obvodech. </w:t>
      </w:r>
      <w:r w:rsidR="00F80383">
        <w:rPr>
          <w:rFonts w:ascii="Arial" w:hAnsi="Arial" w:cs="Arial"/>
          <w:b/>
          <w:lang w:eastAsia="cs-CZ"/>
        </w:rPr>
        <w:t>V druhé polovině roku je připraven dát na trh další</w:t>
      </w:r>
      <w:r w:rsidR="00F70EB6">
        <w:rPr>
          <w:rFonts w:ascii="Arial" w:hAnsi="Arial" w:cs="Arial"/>
          <w:b/>
          <w:lang w:eastAsia="cs-CZ"/>
        </w:rPr>
        <w:t xml:space="preserve"> tisícovku </w:t>
      </w:r>
      <w:r w:rsidR="00F80383">
        <w:rPr>
          <w:rFonts w:ascii="Arial" w:hAnsi="Arial" w:cs="Arial"/>
          <w:b/>
          <w:lang w:eastAsia="cs-CZ"/>
        </w:rPr>
        <w:t xml:space="preserve">nových </w:t>
      </w:r>
      <w:r w:rsidR="00F70EB6">
        <w:rPr>
          <w:rFonts w:ascii="Arial" w:hAnsi="Arial" w:cs="Arial"/>
          <w:b/>
          <w:lang w:eastAsia="cs-CZ"/>
        </w:rPr>
        <w:t>bytů.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834DA3" w:rsidRDefault="00834DA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24414E">
        <w:rPr>
          <w:rFonts w:ascii="Arial" w:hAnsi="Arial" w:cs="Arial"/>
          <w:i/>
          <w:lang w:eastAsia="cs-CZ"/>
        </w:rPr>
        <w:t>„</w:t>
      </w:r>
      <w:proofErr w:type="spellStart"/>
      <w:r w:rsidR="00D029F6" w:rsidRPr="0024414E">
        <w:rPr>
          <w:rFonts w:ascii="Arial" w:hAnsi="Arial" w:cs="Arial"/>
          <w:i/>
          <w:lang w:eastAsia="cs-CZ"/>
        </w:rPr>
        <w:t>Central</w:t>
      </w:r>
      <w:proofErr w:type="spellEnd"/>
      <w:r w:rsidR="00D029F6" w:rsidRPr="0024414E">
        <w:rPr>
          <w:rFonts w:ascii="Arial" w:hAnsi="Arial" w:cs="Arial"/>
          <w:i/>
          <w:lang w:eastAsia="cs-CZ"/>
        </w:rPr>
        <w:t xml:space="preserve"> Group těží z výhody největšího hráče na če</w:t>
      </w:r>
      <w:r w:rsidR="003B6E60" w:rsidRPr="0024414E">
        <w:rPr>
          <w:rFonts w:ascii="Arial" w:hAnsi="Arial" w:cs="Arial"/>
          <w:i/>
          <w:lang w:eastAsia="cs-CZ"/>
        </w:rPr>
        <w:t>s</w:t>
      </w:r>
      <w:r w:rsidR="00D029F6" w:rsidRPr="0024414E">
        <w:rPr>
          <w:rFonts w:ascii="Arial" w:hAnsi="Arial" w:cs="Arial"/>
          <w:i/>
          <w:lang w:eastAsia="cs-CZ"/>
        </w:rPr>
        <w:t>kém trhu. V situaci, kdy menší developeři nemají co nabízet</w:t>
      </w:r>
      <w:r w:rsidR="00FD4BA6">
        <w:rPr>
          <w:rFonts w:ascii="Arial" w:hAnsi="Arial" w:cs="Arial"/>
          <w:i/>
          <w:lang w:eastAsia="cs-CZ"/>
        </w:rPr>
        <w:t>,</w:t>
      </w:r>
      <w:r w:rsidR="00D029F6" w:rsidRPr="0024414E">
        <w:rPr>
          <w:rFonts w:ascii="Arial" w:hAnsi="Arial" w:cs="Arial"/>
          <w:i/>
          <w:lang w:eastAsia="cs-CZ"/>
        </w:rPr>
        <w:t xml:space="preserve"> si </w:t>
      </w:r>
      <w:r w:rsidR="003B6E60" w:rsidRPr="0024414E">
        <w:rPr>
          <w:rFonts w:ascii="Arial" w:hAnsi="Arial" w:cs="Arial"/>
          <w:i/>
          <w:lang w:eastAsia="cs-CZ"/>
        </w:rPr>
        <w:t>může dovolit přijít s</w:t>
      </w:r>
      <w:r w:rsidR="00FD4BA6">
        <w:rPr>
          <w:rFonts w:ascii="Arial" w:hAnsi="Arial" w:cs="Arial"/>
          <w:i/>
          <w:lang w:eastAsia="cs-CZ"/>
        </w:rPr>
        <w:t>e</w:t>
      </w:r>
      <w:r w:rsidR="003B6E60" w:rsidRPr="0024414E">
        <w:rPr>
          <w:rFonts w:ascii="Arial" w:hAnsi="Arial" w:cs="Arial"/>
          <w:i/>
          <w:lang w:eastAsia="cs-CZ"/>
        </w:rPr>
        <w:t xml:space="preserve"> zcela nový</w:t>
      </w:r>
      <w:r w:rsidR="00FD4BA6">
        <w:rPr>
          <w:rFonts w:ascii="Arial" w:hAnsi="Arial" w:cs="Arial"/>
          <w:i/>
          <w:lang w:eastAsia="cs-CZ"/>
        </w:rPr>
        <w:t>mi</w:t>
      </w:r>
      <w:r w:rsidR="003B6E60" w:rsidRPr="0024414E">
        <w:rPr>
          <w:rFonts w:ascii="Arial" w:hAnsi="Arial" w:cs="Arial"/>
          <w:i/>
          <w:lang w:eastAsia="cs-CZ"/>
        </w:rPr>
        <w:t xml:space="preserve"> velký</w:t>
      </w:r>
      <w:r w:rsidR="00FD4BA6">
        <w:rPr>
          <w:rFonts w:ascii="Arial" w:hAnsi="Arial" w:cs="Arial"/>
          <w:i/>
          <w:lang w:eastAsia="cs-CZ"/>
        </w:rPr>
        <w:t>mi</w:t>
      </w:r>
      <w:r w:rsidR="003B6E60" w:rsidRPr="0024414E">
        <w:rPr>
          <w:rFonts w:ascii="Arial" w:hAnsi="Arial" w:cs="Arial"/>
          <w:i/>
          <w:lang w:eastAsia="cs-CZ"/>
        </w:rPr>
        <w:t xml:space="preserve"> rozvojový</w:t>
      </w:r>
      <w:r w:rsidR="00FD4BA6">
        <w:rPr>
          <w:rFonts w:ascii="Arial" w:hAnsi="Arial" w:cs="Arial"/>
          <w:i/>
          <w:lang w:eastAsia="cs-CZ"/>
        </w:rPr>
        <w:t>mi</w:t>
      </w:r>
      <w:r w:rsidR="003B6E60" w:rsidRPr="0024414E">
        <w:rPr>
          <w:rFonts w:ascii="Arial" w:hAnsi="Arial" w:cs="Arial"/>
          <w:i/>
          <w:lang w:eastAsia="cs-CZ"/>
        </w:rPr>
        <w:t xml:space="preserve"> projekt</w:t>
      </w:r>
      <w:r w:rsidR="00FD4BA6">
        <w:rPr>
          <w:rFonts w:ascii="Arial" w:hAnsi="Arial" w:cs="Arial"/>
          <w:i/>
          <w:lang w:eastAsia="cs-CZ"/>
        </w:rPr>
        <w:t>y</w:t>
      </w:r>
      <w:r w:rsidRPr="0024414E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 Vloni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prodal 1243 bytů za 5,2 miliardy korun. Na celkových prodejích v Praze se tak podílel téměř 20 procenty. Meziročně prodej bytů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narostl o čtvrtinu, příjmy z prodeje vzhledem k růstu cenové úrovně na trhu a zařazení luxusnějších projektů do prodeje dokonce téměř o polovinu. Letos firma očekává růst prodeje zhruba o deset procent. Ceny dále porostou, vzhledem k celkovému nedostatku bytů na trhu.</w:t>
      </w:r>
    </w:p>
    <w:p w:rsidR="00834DA3" w:rsidRDefault="00834DA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4414E" w:rsidRPr="00B55313" w:rsidRDefault="0024414E" w:rsidP="0024414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V  nabídce i nadále převažují byty středního segmentu </w:t>
      </w:r>
    </w:p>
    <w:p w:rsidR="0024414E" w:rsidRDefault="0024414E" w:rsidP="0024414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908CA">
        <w:rPr>
          <w:rFonts w:ascii="Arial" w:hAnsi="Arial" w:cs="Arial"/>
          <w:lang w:eastAsia="cs-CZ"/>
        </w:rPr>
        <w:t xml:space="preserve">Základem nabídky </w:t>
      </w:r>
      <w:proofErr w:type="spellStart"/>
      <w:r w:rsidRPr="00C908CA">
        <w:rPr>
          <w:rFonts w:ascii="Arial" w:hAnsi="Arial" w:cs="Arial"/>
          <w:lang w:eastAsia="cs-CZ"/>
        </w:rPr>
        <w:t>Central</w:t>
      </w:r>
      <w:proofErr w:type="spellEnd"/>
      <w:r w:rsidRPr="00C908CA">
        <w:rPr>
          <w:rFonts w:ascii="Arial" w:hAnsi="Arial" w:cs="Arial"/>
          <w:lang w:eastAsia="cs-CZ"/>
        </w:rPr>
        <w:t xml:space="preserve"> Group je i nadále střední segment, tedy dostupné bydlení ve velmi vysokém standardu a v kvalitních lokalitách s dobrou dopravní dostupností a </w:t>
      </w:r>
      <w:r>
        <w:rPr>
          <w:rFonts w:ascii="Arial" w:hAnsi="Arial" w:cs="Arial"/>
          <w:lang w:eastAsia="cs-CZ"/>
        </w:rPr>
        <w:t xml:space="preserve">bohatou </w:t>
      </w:r>
      <w:r w:rsidRPr="00C908CA">
        <w:rPr>
          <w:rFonts w:ascii="Arial" w:hAnsi="Arial" w:cs="Arial"/>
          <w:lang w:eastAsia="cs-CZ"/>
        </w:rPr>
        <w:t>občanskou vybaveností.</w:t>
      </w:r>
      <w:r w:rsidRPr="0010798A">
        <w:rPr>
          <w:rFonts w:ascii="Arial" w:hAnsi="Arial" w:cs="Arial"/>
          <w:i/>
          <w:lang w:eastAsia="cs-CZ"/>
        </w:rPr>
        <w:t xml:space="preserve"> </w:t>
      </w:r>
      <w:r>
        <w:rPr>
          <w:rFonts w:ascii="Arial" w:hAnsi="Arial" w:cs="Arial"/>
          <w:i/>
          <w:lang w:eastAsia="cs-CZ"/>
        </w:rPr>
        <w:t>„S</w:t>
      </w:r>
      <w:r w:rsidRPr="0010798A">
        <w:rPr>
          <w:rFonts w:ascii="Arial" w:hAnsi="Arial" w:cs="Arial"/>
          <w:i/>
          <w:lang w:eastAsia="cs-CZ"/>
        </w:rPr>
        <w:t>třední segment</w:t>
      </w:r>
      <w:r>
        <w:rPr>
          <w:rFonts w:ascii="Arial" w:hAnsi="Arial" w:cs="Arial"/>
          <w:i/>
          <w:lang w:eastAsia="cs-CZ"/>
        </w:rPr>
        <w:t xml:space="preserve"> tvoří asi 60 procent</w:t>
      </w:r>
      <w:r w:rsidRPr="0010798A">
        <w:rPr>
          <w:rFonts w:ascii="Arial" w:hAnsi="Arial" w:cs="Arial"/>
          <w:i/>
          <w:lang w:eastAsia="cs-CZ"/>
        </w:rPr>
        <w:t xml:space="preserve"> </w:t>
      </w:r>
      <w:r>
        <w:rPr>
          <w:rFonts w:ascii="Arial" w:hAnsi="Arial" w:cs="Arial"/>
          <w:i/>
          <w:lang w:eastAsia="cs-CZ"/>
        </w:rPr>
        <w:t xml:space="preserve">nabídky </w:t>
      </w:r>
      <w:proofErr w:type="spellStart"/>
      <w:r>
        <w:rPr>
          <w:rFonts w:ascii="Arial" w:hAnsi="Arial" w:cs="Arial"/>
          <w:i/>
          <w:lang w:eastAsia="cs-CZ"/>
        </w:rPr>
        <w:t>Central</w:t>
      </w:r>
      <w:proofErr w:type="spellEnd"/>
      <w:r>
        <w:rPr>
          <w:rFonts w:ascii="Arial" w:hAnsi="Arial" w:cs="Arial"/>
          <w:i/>
          <w:lang w:eastAsia="cs-CZ"/>
        </w:rPr>
        <w:t xml:space="preserve"> Group</w:t>
      </w:r>
      <w:r w:rsidRPr="0010798A">
        <w:rPr>
          <w:rFonts w:ascii="Arial" w:hAnsi="Arial" w:cs="Arial"/>
          <w:i/>
          <w:lang w:eastAsia="cs-CZ"/>
        </w:rPr>
        <w:t>,</w:t>
      </w:r>
      <w:r>
        <w:rPr>
          <w:rFonts w:ascii="Arial" w:hAnsi="Arial" w:cs="Arial"/>
          <w:i/>
          <w:lang w:eastAsia="cs-CZ"/>
        </w:rPr>
        <w:t xml:space="preserve"> dalších zhruba 30 procent pak nadstandardní byty v širším centru Prahy. </w:t>
      </w:r>
      <w:r w:rsidR="00FD4BA6">
        <w:rPr>
          <w:rFonts w:ascii="Arial" w:hAnsi="Arial" w:cs="Arial"/>
          <w:i/>
          <w:lang w:eastAsia="cs-CZ"/>
        </w:rPr>
        <w:t xml:space="preserve">Zbytek jsou </w:t>
      </w:r>
      <w:r>
        <w:rPr>
          <w:rFonts w:ascii="Arial" w:hAnsi="Arial" w:cs="Arial"/>
          <w:i/>
          <w:lang w:eastAsia="cs-CZ"/>
        </w:rPr>
        <w:t>luxusní rezidence s prémiovými byty ve zcela unikátních lokalitách v centru města,</w:t>
      </w:r>
      <w:r w:rsidRPr="0010798A">
        <w:rPr>
          <w:rFonts w:ascii="Arial" w:hAnsi="Arial" w:cs="Arial"/>
          <w:i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vysvětlil Kunovský. </w:t>
      </w:r>
    </w:p>
    <w:p w:rsidR="0024414E" w:rsidRDefault="0024414E" w:rsidP="0024414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F283D" w:rsidRDefault="004F283D" w:rsidP="0024414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Úplnou novinkou ve středním segmentu bude projekt Jižní výhledy ve Stodůlkách. První</w:t>
      </w:r>
      <w:r w:rsidR="007744A2">
        <w:rPr>
          <w:rFonts w:ascii="Arial" w:hAnsi="Arial" w:cs="Arial"/>
          <w:lang w:eastAsia="cs-CZ"/>
        </w:rPr>
        <w:t xml:space="preserve"> bytové domy s více než 70 byt</w:t>
      </w:r>
      <w:r w:rsidR="007D2C34">
        <w:rPr>
          <w:rFonts w:ascii="Arial" w:hAnsi="Arial" w:cs="Arial"/>
          <w:lang w:eastAsia="cs-CZ"/>
        </w:rPr>
        <w:t>y</w:t>
      </w:r>
      <w:r w:rsidR="007744A2">
        <w:rPr>
          <w:rFonts w:ascii="Arial" w:hAnsi="Arial" w:cs="Arial"/>
          <w:lang w:eastAsia="cs-CZ"/>
        </w:rPr>
        <w:t xml:space="preserve"> tohoto velkého projektu </w:t>
      </w:r>
      <w:r>
        <w:rPr>
          <w:rFonts w:ascii="Arial" w:hAnsi="Arial" w:cs="Arial"/>
          <w:lang w:eastAsia="cs-CZ"/>
        </w:rPr>
        <w:t xml:space="preserve">se objeví v nabídce už na jaře. </w:t>
      </w:r>
      <w:r w:rsidR="006718AE">
        <w:rPr>
          <w:rFonts w:ascii="Arial" w:hAnsi="Arial" w:cs="Arial"/>
          <w:lang w:eastAsia="cs-CZ"/>
        </w:rPr>
        <w:t>Dále se r</w:t>
      </w:r>
      <w:r>
        <w:rPr>
          <w:rFonts w:ascii="Arial" w:hAnsi="Arial" w:cs="Arial"/>
          <w:lang w:eastAsia="cs-CZ"/>
        </w:rPr>
        <w:t xml:space="preserve">ozroste </w:t>
      </w:r>
      <w:r w:rsidR="006718AE">
        <w:rPr>
          <w:rFonts w:ascii="Arial" w:hAnsi="Arial" w:cs="Arial"/>
          <w:lang w:eastAsia="cs-CZ"/>
        </w:rPr>
        <w:t xml:space="preserve">také </w:t>
      </w:r>
      <w:r>
        <w:rPr>
          <w:rFonts w:ascii="Arial" w:hAnsi="Arial" w:cs="Arial"/>
          <w:lang w:eastAsia="cs-CZ"/>
        </w:rPr>
        <w:t xml:space="preserve">velmi úspěšný projekt Nad Modřanskou roklí </w:t>
      </w:r>
      <w:r w:rsidR="00697936">
        <w:rPr>
          <w:rFonts w:ascii="Arial" w:hAnsi="Arial" w:cs="Arial"/>
          <w:lang w:eastAsia="cs-CZ"/>
        </w:rPr>
        <w:t>na</w:t>
      </w:r>
      <w:r>
        <w:rPr>
          <w:rFonts w:ascii="Arial" w:hAnsi="Arial" w:cs="Arial"/>
          <w:lang w:eastAsia="cs-CZ"/>
        </w:rPr>
        <w:t xml:space="preserve"> Kamýku</w:t>
      </w:r>
      <w:r w:rsidR="00697936">
        <w:rPr>
          <w:rFonts w:ascii="Arial" w:hAnsi="Arial" w:cs="Arial"/>
          <w:lang w:eastAsia="cs-CZ"/>
        </w:rPr>
        <w:t xml:space="preserve"> v Praze 4</w:t>
      </w:r>
      <w:r>
        <w:rPr>
          <w:rFonts w:ascii="Arial" w:hAnsi="Arial" w:cs="Arial"/>
          <w:lang w:eastAsia="cs-CZ"/>
        </w:rPr>
        <w:t xml:space="preserve">. Do prodeje půjde </w:t>
      </w:r>
      <w:r w:rsidR="007744A2">
        <w:rPr>
          <w:rFonts w:ascii="Arial" w:hAnsi="Arial" w:cs="Arial"/>
          <w:lang w:eastAsia="cs-CZ"/>
        </w:rPr>
        <w:t xml:space="preserve">přes </w:t>
      </w:r>
      <w:r>
        <w:rPr>
          <w:rFonts w:ascii="Arial" w:hAnsi="Arial" w:cs="Arial"/>
          <w:lang w:eastAsia="cs-CZ"/>
        </w:rPr>
        <w:t>15</w:t>
      </w:r>
      <w:r w:rsidR="007744A2">
        <w:rPr>
          <w:rFonts w:ascii="Arial" w:hAnsi="Arial" w:cs="Arial"/>
          <w:lang w:eastAsia="cs-CZ"/>
        </w:rPr>
        <w:t>0</w:t>
      </w:r>
      <w:r>
        <w:rPr>
          <w:rFonts w:ascii="Arial" w:hAnsi="Arial" w:cs="Arial"/>
          <w:lang w:eastAsia="cs-CZ"/>
        </w:rPr>
        <w:t xml:space="preserve"> bytů tohoto projektu</w:t>
      </w:r>
      <w:r w:rsidR="003B04CF">
        <w:rPr>
          <w:rFonts w:ascii="Arial" w:hAnsi="Arial" w:cs="Arial"/>
          <w:lang w:eastAsia="cs-CZ"/>
        </w:rPr>
        <w:t xml:space="preserve"> velmi zajímavého jak pro rodiny, tak pro investory</w:t>
      </w:r>
      <w:r>
        <w:rPr>
          <w:rFonts w:ascii="Arial" w:hAnsi="Arial" w:cs="Arial"/>
          <w:lang w:eastAsia="cs-CZ"/>
        </w:rPr>
        <w:t xml:space="preserve">, který se staví </w:t>
      </w:r>
      <w:r w:rsidR="00697936">
        <w:rPr>
          <w:rFonts w:ascii="Arial" w:hAnsi="Arial" w:cs="Arial"/>
          <w:lang w:eastAsia="cs-CZ"/>
        </w:rPr>
        <w:t>jen pár kroků</w:t>
      </w:r>
      <w:r w:rsidR="005F1C58">
        <w:rPr>
          <w:rFonts w:ascii="Arial" w:hAnsi="Arial" w:cs="Arial"/>
          <w:lang w:eastAsia="cs-CZ"/>
        </w:rPr>
        <w:t xml:space="preserve"> od budoucí stanice metra D.</w:t>
      </w:r>
      <w:r w:rsidR="00FD4BA6">
        <w:rPr>
          <w:rFonts w:ascii="Arial" w:hAnsi="Arial" w:cs="Arial"/>
          <w:lang w:eastAsia="cs-CZ"/>
        </w:rPr>
        <w:t xml:space="preserve"> </w:t>
      </w:r>
      <w:r w:rsidR="005F1C58">
        <w:rPr>
          <w:rFonts w:ascii="Arial" w:hAnsi="Arial" w:cs="Arial"/>
          <w:lang w:eastAsia="cs-CZ"/>
        </w:rPr>
        <w:t xml:space="preserve">Letňanské zahrady, nejprodávanější projekt loňského roku, nabídnou </w:t>
      </w:r>
      <w:r w:rsidR="007744A2">
        <w:rPr>
          <w:rFonts w:ascii="Arial" w:hAnsi="Arial" w:cs="Arial"/>
          <w:lang w:eastAsia="cs-CZ"/>
        </w:rPr>
        <w:t xml:space="preserve">také </w:t>
      </w:r>
      <w:r w:rsidR="005F1C58">
        <w:rPr>
          <w:rFonts w:ascii="Arial" w:hAnsi="Arial" w:cs="Arial"/>
          <w:lang w:eastAsia="cs-CZ"/>
        </w:rPr>
        <w:t>další</w:t>
      </w:r>
      <w:r w:rsidR="007744A2">
        <w:rPr>
          <w:rFonts w:ascii="Arial" w:hAnsi="Arial" w:cs="Arial"/>
          <w:lang w:eastAsia="cs-CZ"/>
        </w:rPr>
        <w:t xml:space="preserve"> stovku</w:t>
      </w:r>
      <w:r w:rsidR="005F1C58">
        <w:rPr>
          <w:rFonts w:ascii="Arial" w:hAnsi="Arial" w:cs="Arial"/>
          <w:lang w:eastAsia="cs-CZ"/>
        </w:rPr>
        <w:t xml:space="preserve"> bytů.</w:t>
      </w:r>
      <w:r>
        <w:rPr>
          <w:rFonts w:ascii="Arial" w:hAnsi="Arial" w:cs="Arial"/>
          <w:lang w:eastAsia="cs-CZ"/>
        </w:rPr>
        <w:t xml:space="preserve"> </w:t>
      </w:r>
    </w:p>
    <w:p w:rsidR="004F283D" w:rsidRDefault="004F283D" w:rsidP="0024414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718AE" w:rsidRPr="004E3C25" w:rsidRDefault="005F1C58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</w:t>
      </w:r>
      <w:r w:rsidR="002830D4" w:rsidRPr="002830D4">
        <w:rPr>
          <w:rFonts w:ascii="Arial" w:hAnsi="Arial" w:cs="Arial"/>
          <w:lang w:eastAsia="cs-CZ"/>
        </w:rPr>
        <w:t xml:space="preserve">irma ale </w:t>
      </w:r>
      <w:r w:rsidR="00F70EB6">
        <w:rPr>
          <w:rFonts w:ascii="Arial" w:hAnsi="Arial" w:cs="Arial"/>
          <w:lang w:eastAsia="cs-CZ"/>
        </w:rPr>
        <w:t>zařadí</w:t>
      </w:r>
      <w:r w:rsidR="0004339F" w:rsidRPr="002830D4">
        <w:rPr>
          <w:rFonts w:ascii="Arial" w:hAnsi="Arial" w:cs="Arial"/>
          <w:lang w:eastAsia="cs-CZ"/>
        </w:rPr>
        <w:t xml:space="preserve"> do prodeje </w:t>
      </w:r>
      <w:r>
        <w:rPr>
          <w:rFonts w:ascii="Arial" w:hAnsi="Arial" w:cs="Arial"/>
          <w:lang w:eastAsia="cs-CZ"/>
        </w:rPr>
        <w:t>také novinky v luxusní kategorii. Na své obyvatele již čeká čerstvě dokončený luxusní projekt Rezidence Na Bertramce, který leží v romantické lokalitě přímo naproti slavné vile manželů Duškových, kterou často navštěvoval Wolfgang Amadeus Mozart. Rezidence je dokončena a vybavena v</w:t>
      </w:r>
      <w:r w:rsidR="00354290">
        <w:rPr>
          <w:rFonts w:ascii="Arial" w:hAnsi="Arial" w:cs="Arial"/>
          <w:lang w:eastAsia="cs-CZ"/>
        </w:rPr>
        <w:t xml:space="preserve"> kvalitě odpovídající </w:t>
      </w:r>
      <w:r>
        <w:rPr>
          <w:rFonts w:ascii="Arial" w:hAnsi="Arial" w:cs="Arial"/>
          <w:lang w:eastAsia="cs-CZ"/>
        </w:rPr>
        <w:t> nadstandardním</w:t>
      </w:r>
      <w:r w:rsidR="00354290">
        <w:rPr>
          <w:rFonts w:ascii="Arial" w:hAnsi="Arial" w:cs="Arial"/>
          <w:lang w:eastAsia="cs-CZ"/>
        </w:rPr>
        <w:t>u</w:t>
      </w:r>
      <w:r>
        <w:rPr>
          <w:rFonts w:ascii="Arial" w:hAnsi="Arial" w:cs="Arial"/>
          <w:lang w:eastAsia="cs-CZ"/>
        </w:rPr>
        <w:t xml:space="preserve"> segmentu a dva nejlépe umístěné mezonetové střešní byty dokonce v</w:t>
      </w:r>
      <w:r w:rsidR="00354290">
        <w:rPr>
          <w:rFonts w:ascii="Arial" w:hAnsi="Arial" w:cs="Arial"/>
          <w:lang w:eastAsia="cs-CZ"/>
        </w:rPr>
        <w:t xml:space="preserve"> kvalitě </w:t>
      </w:r>
      <w:proofErr w:type="spellStart"/>
      <w:r w:rsidR="00354290">
        <w:rPr>
          <w:rFonts w:ascii="Arial" w:hAnsi="Arial" w:cs="Arial"/>
          <w:lang w:eastAsia="cs-CZ"/>
        </w:rPr>
        <w:t>premium</w:t>
      </w:r>
      <w:proofErr w:type="spellEnd"/>
      <w:r>
        <w:rPr>
          <w:rFonts w:ascii="Arial" w:hAnsi="Arial" w:cs="Arial"/>
          <w:lang w:eastAsia="cs-CZ"/>
        </w:rPr>
        <w:t xml:space="preserve">. </w:t>
      </w:r>
    </w:p>
    <w:p w:rsidR="006718AE" w:rsidRDefault="006718A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6718AE" w:rsidRDefault="006718A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F1C58" w:rsidRDefault="005F1C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F1C58" w:rsidRDefault="005F1C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06B84" w:rsidRDefault="00406B84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4E3C25" w:rsidRDefault="004E3C2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5F1C58" w:rsidRDefault="005F1C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4606B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D" w:rsidRDefault="00CB63DD" w:rsidP="00655B14">
      <w:pPr>
        <w:spacing w:after="0" w:line="240" w:lineRule="auto"/>
      </w:pPr>
      <w:r>
        <w:separator/>
      </w:r>
    </w:p>
  </w:endnote>
  <w:endnote w:type="continuationSeparator" w:id="0">
    <w:p w:rsidR="00CB63DD" w:rsidRDefault="00CB63DD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D" w:rsidRDefault="00CB63DD" w:rsidP="00655B14">
      <w:pPr>
        <w:spacing w:after="0" w:line="240" w:lineRule="auto"/>
      </w:pPr>
      <w:r>
        <w:separator/>
      </w:r>
    </w:p>
  </w:footnote>
  <w:footnote w:type="continuationSeparator" w:id="0">
    <w:p w:rsidR="00CB63DD" w:rsidRDefault="00CB63DD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9B7CEFF" wp14:editId="2B8CE38E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2247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57028D09" wp14:editId="17E972EE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697936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944072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1A39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339F"/>
    <w:rsid w:val="000449DD"/>
    <w:rsid w:val="0004606B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1D08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2550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14E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0D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95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290"/>
    <w:rsid w:val="00354906"/>
    <w:rsid w:val="003553D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4CF"/>
    <w:rsid w:val="003B0B39"/>
    <w:rsid w:val="003B20BE"/>
    <w:rsid w:val="003B2626"/>
    <w:rsid w:val="003B669D"/>
    <w:rsid w:val="003B6E60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6B84"/>
    <w:rsid w:val="00407D1B"/>
    <w:rsid w:val="0041092C"/>
    <w:rsid w:val="00411ECF"/>
    <w:rsid w:val="00414620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2488"/>
    <w:rsid w:val="004D3EFE"/>
    <w:rsid w:val="004D6F71"/>
    <w:rsid w:val="004D718C"/>
    <w:rsid w:val="004E3C25"/>
    <w:rsid w:val="004E48FD"/>
    <w:rsid w:val="004E53EE"/>
    <w:rsid w:val="004F283D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759C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E2124"/>
    <w:rsid w:val="005F1C58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36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18AE"/>
    <w:rsid w:val="006832C4"/>
    <w:rsid w:val="00686D43"/>
    <w:rsid w:val="006927C2"/>
    <w:rsid w:val="006934FA"/>
    <w:rsid w:val="00693888"/>
    <w:rsid w:val="00697936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916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05A4"/>
    <w:rsid w:val="00761239"/>
    <w:rsid w:val="00762126"/>
    <w:rsid w:val="00766721"/>
    <w:rsid w:val="007744A2"/>
    <w:rsid w:val="00781099"/>
    <w:rsid w:val="007832C3"/>
    <w:rsid w:val="0078361B"/>
    <w:rsid w:val="007842B4"/>
    <w:rsid w:val="00784FC6"/>
    <w:rsid w:val="007871D4"/>
    <w:rsid w:val="00787594"/>
    <w:rsid w:val="00790072"/>
    <w:rsid w:val="00796713"/>
    <w:rsid w:val="00796CBD"/>
    <w:rsid w:val="007A4A06"/>
    <w:rsid w:val="007A53B0"/>
    <w:rsid w:val="007B1A39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2C34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4DA3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072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9B2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77526"/>
    <w:rsid w:val="00A81BE1"/>
    <w:rsid w:val="00A829ED"/>
    <w:rsid w:val="00A84E4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13B44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45C6"/>
    <w:rsid w:val="00C87246"/>
    <w:rsid w:val="00C908CA"/>
    <w:rsid w:val="00C948E3"/>
    <w:rsid w:val="00C964AD"/>
    <w:rsid w:val="00C97FF5"/>
    <w:rsid w:val="00CA489A"/>
    <w:rsid w:val="00CA4B80"/>
    <w:rsid w:val="00CA6D83"/>
    <w:rsid w:val="00CB63D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29F6"/>
    <w:rsid w:val="00D05C00"/>
    <w:rsid w:val="00D1309B"/>
    <w:rsid w:val="00D13CF0"/>
    <w:rsid w:val="00D15A19"/>
    <w:rsid w:val="00D175CF"/>
    <w:rsid w:val="00D2049B"/>
    <w:rsid w:val="00D21D3C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AC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12E8"/>
    <w:rsid w:val="00E442D7"/>
    <w:rsid w:val="00E444F3"/>
    <w:rsid w:val="00E51C0E"/>
    <w:rsid w:val="00E552A9"/>
    <w:rsid w:val="00E652A9"/>
    <w:rsid w:val="00E672CE"/>
    <w:rsid w:val="00E6746A"/>
    <w:rsid w:val="00E741CF"/>
    <w:rsid w:val="00E830CF"/>
    <w:rsid w:val="00E84B54"/>
    <w:rsid w:val="00E875C9"/>
    <w:rsid w:val="00E97083"/>
    <w:rsid w:val="00EA1052"/>
    <w:rsid w:val="00EA4FF3"/>
    <w:rsid w:val="00EA5CEE"/>
    <w:rsid w:val="00EA79D5"/>
    <w:rsid w:val="00EB00C7"/>
    <w:rsid w:val="00EB2BBE"/>
    <w:rsid w:val="00EB5042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0EB6"/>
    <w:rsid w:val="00F71634"/>
    <w:rsid w:val="00F752EA"/>
    <w:rsid w:val="00F80383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1BA"/>
    <w:rsid w:val="00FC3BB1"/>
    <w:rsid w:val="00FD23C2"/>
    <w:rsid w:val="00FD38F9"/>
    <w:rsid w:val="00FD40F0"/>
    <w:rsid w:val="00FD4BA6"/>
    <w:rsid w:val="00FD52E9"/>
    <w:rsid w:val="00FD6FDD"/>
    <w:rsid w:val="00FD7ED7"/>
    <w:rsid w:val="00FE5EF3"/>
    <w:rsid w:val="00FF22D6"/>
    <w:rsid w:val="00FF249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50DA"/>
  <w15:docId w15:val="{E205250B-E0D6-4654-9DD9-4623BF5E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9FED-85EA-4792-88E4-E6FD121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19</cp:revision>
  <cp:lastPrinted>2017-02-28T10:22:00Z</cp:lastPrinted>
  <dcterms:created xsi:type="dcterms:W3CDTF">2017-01-30T13:53:00Z</dcterms:created>
  <dcterms:modified xsi:type="dcterms:W3CDTF">2017-03-02T14:18:00Z</dcterms:modified>
</cp:coreProperties>
</file>