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481" w:rsidRDefault="00B66481" w:rsidP="00B66481">
      <w:pPr>
        <w:rPr>
          <w:rFonts w:cstheme="minorHAnsi"/>
          <w:b/>
          <w:sz w:val="28"/>
          <w:szCs w:val="28"/>
        </w:rPr>
      </w:pPr>
      <w:r w:rsidRPr="00B66481">
        <w:rPr>
          <w:rFonts w:cstheme="minorHAnsi"/>
          <w:b/>
          <w:sz w:val="28"/>
          <w:szCs w:val="28"/>
        </w:rPr>
        <w:t xml:space="preserve">SAR: Stavební právo potřebuje revoluci </w:t>
      </w:r>
    </w:p>
    <w:p w:rsidR="00D82C0B" w:rsidRPr="00B66481" w:rsidRDefault="00D82C0B" w:rsidP="00B66481">
      <w:pPr>
        <w:rPr>
          <w:rFonts w:cstheme="minorHAnsi"/>
          <w:b/>
          <w:sz w:val="28"/>
          <w:szCs w:val="28"/>
        </w:rPr>
      </w:pPr>
    </w:p>
    <w:p w:rsidR="00B66481" w:rsidRPr="00B66481" w:rsidRDefault="00B66481" w:rsidP="00B66481">
      <w:pPr>
        <w:rPr>
          <w:rFonts w:cstheme="minorHAnsi"/>
          <w:b/>
        </w:rPr>
      </w:pPr>
      <w:r w:rsidRPr="00B66481">
        <w:rPr>
          <w:rFonts w:cstheme="minorHAnsi"/>
          <w:i/>
        </w:rPr>
        <w:t xml:space="preserve">Praha, 1. </w:t>
      </w:r>
      <w:r w:rsidR="00D82C0B">
        <w:rPr>
          <w:rFonts w:cstheme="minorHAnsi"/>
          <w:i/>
        </w:rPr>
        <w:t>2.</w:t>
      </w:r>
      <w:r w:rsidRPr="00B66481">
        <w:rPr>
          <w:rFonts w:cstheme="minorHAnsi"/>
          <w:i/>
        </w:rPr>
        <w:t xml:space="preserve"> 2019 –</w:t>
      </w:r>
      <w:r>
        <w:rPr>
          <w:rFonts w:cstheme="minorHAnsi"/>
        </w:rPr>
        <w:t xml:space="preserve"> </w:t>
      </w:r>
      <w:r w:rsidRPr="00B66481">
        <w:rPr>
          <w:rFonts w:cstheme="minorHAnsi"/>
          <w:b/>
        </w:rPr>
        <w:t>Ministerstvo pro místní rozvoj odeslalo do meziresortního připomínkového řízení věcný záměr nového stavebního zákona. Členové Sdružení pro architekturu a rozvoj (SAR) oceňují dodržení harmonogramu tak, aby mohl nový zákon začít platit od ledna 2021</w:t>
      </w:r>
      <w:r w:rsidR="001F7C94">
        <w:rPr>
          <w:rFonts w:cstheme="minorHAnsi"/>
          <w:b/>
        </w:rPr>
        <w:t>,</w:t>
      </w:r>
      <w:r w:rsidRPr="00B66481">
        <w:rPr>
          <w:rFonts w:cstheme="minorHAnsi"/>
          <w:b/>
        </w:rPr>
        <w:t xml:space="preserve"> a ambici úřadu změnit od základu tristní legislativní situaci v českém stavebnictví, která paralyzuje soukromé i veřejné investory. </w:t>
      </w:r>
    </w:p>
    <w:p w:rsidR="00B66481" w:rsidRPr="00B66481" w:rsidRDefault="00B66481" w:rsidP="00B66481">
      <w:pPr>
        <w:rPr>
          <w:rFonts w:cstheme="minorHAnsi"/>
        </w:rPr>
      </w:pPr>
      <w:r w:rsidRPr="00B66481">
        <w:rPr>
          <w:rFonts w:cstheme="minorHAnsi"/>
        </w:rPr>
        <w:t>Nový zákon by měl zavést princip jednoho úřadu a jednoho rozhodnutí do 60 dnů</w:t>
      </w:r>
      <w:r w:rsidR="007E5EC7">
        <w:rPr>
          <w:rFonts w:cstheme="minorHAnsi"/>
        </w:rPr>
        <w:t>. Nezbytná je</w:t>
      </w:r>
      <w:r w:rsidRPr="00B66481">
        <w:rPr>
          <w:rFonts w:cstheme="minorHAnsi"/>
        </w:rPr>
        <w:t xml:space="preserve"> redukc</w:t>
      </w:r>
      <w:r w:rsidR="007E5EC7">
        <w:rPr>
          <w:rFonts w:cstheme="minorHAnsi"/>
        </w:rPr>
        <w:t>e</w:t>
      </w:r>
      <w:r w:rsidRPr="00B66481">
        <w:rPr>
          <w:rFonts w:cstheme="minorHAnsi"/>
        </w:rPr>
        <w:t xml:space="preserve"> stupňů schvalování a dotčených orgánů, které se musí k záměru vyjadřovat</w:t>
      </w:r>
      <w:r w:rsidR="007E5EC7">
        <w:rPr>
          <w:rFonts w:cstheme="minorHAnsi"/>
        </w:rPr>
        <w:t xml:space="preserve">. Zjednodušit se má </w:t>
      </w:r>
      <w:r w:rsidRPr="00B66481">
        <w:rPr>
          <w:rFonts w:cstheme="minorHAnsi"/>
        </w:rPr>
        <w:t xml:space="preserve">dokumentace </w:t>
      </w:r>
      <w:r w:rsidR="007E5EC7">
        <w:rPr>
          <w:rFonts w:cstheme="minorHAnsi"/>
        </w:rPr>
        <w:t>projektů, která je zbytečně detailní</w:t>
      </w:r>
      <w:r w:rsidRPr="00B66481">
        <w:rPr>
          <w:rFonts w:cstheme="minorHAnsi"/>
        </w:rPr>
        <w:t xml:space="preserve">. Zákon také předpokládá vznik samostatné nezávislé soustavy stavebních úřadů, </w:t>
      </w:r>
      <w:r w:rsidR="001F7C94">
        <w:rPr>
          <w:rFonts w:cstheme="minorHAnsi"/>
        </w:rPr>
        <w:t>podobnou jako</w:t>
      </w:r>
      <w:r w:rsidRPr="00B66481">
        <w:rPr>
          <w:rFonts w:cstheme="minorHAnsi"/>
        </w:rPr>
        <w:t xml:space="preserve"> funguje u finančních nebo katastrálních úřadů, v jejímž čele bude stát Nejvyšší stavební úřad. To by mělo vyřešit stále častější napadání systémové podjatosti stavebních úřadů a úředníků. To všechno jsou změny, po kterých členové SAR dlouhodobě volají. </w:t>
      </w:r>
    </w:p>
    <w:p w:rsidR="00B66481" w:rsidRDefault="00B66481" w:rsidP="00B66481">
      <w:pPr>
        <w:rPr>
          <w:rFonts w:cstheme="minorHAnsi"/>
          <w:b/>
        </w:rPr>
      </w:pPr>
    </w:p>
    <w:p w:rsidR="00B66481" w:rsidRPr="00B66481" w:rsidRDefault="00B66481" w:rsidP="00B66481">
      <w:pPr>
        <w:rPr>
          <w:rFonts w:cstheme="minorHAnsi"/>
          <w:b/>
        </w:rPr>
      </w:pPr>
      <w:r w:rsidRPr="00B66481">
        <w:rPr>
          <w:rFonts w:cstheme="minorHAnsi"/>
          <w:b/>
        </w:rPr>
        <w:t>Je potřeba revoluce</w:t>
      </w:r>
    </w:p>
    <w:p w:rsidR="00B66481" w:rsidRPr="00B66481" w:rsidRDefault="00B66481" w:rsidP="00B66481">
      <w:pPr>
        <w:rPr>
          <w:rFonts w:cstheme="minorHAnsi"/>
        </w:rPr>
      </w:pPr>
      <w:r w:rsidRPr="00B66481">
        <w:rPr>
          <w:rFonts w:cstheme="minorHAnsi"/>
          <w:i/>
        </w:rPr>
        <w:t xml:space="preserve">„Stát je už v takové legislativní pasti, že </w:t>
      </w:r>
      <w:r w:rsidRPr="00B66481">
        <w:rPr>
          <w:rFonts w:cstheme="minorHAnsi"/>
          <w:b/>
          <w:i/>
        </w:rPr>
        <w:t>musí přijít revoluce</w:t>
      </w:r>
      <w:r w:rsidRPr="00B66481">
        <w:rPr>
          <w:rFonts w:cstheme="minorHAnsi"/>
          <w:i/>
        </w:rPr>
        <w:t xml:space="preserve">. Rychlé dílčí novely, jako je například zavedení fikce souhlasu, jsou velmi důležité, ale změna zákona musí být opravdu zásadní. Jedním z důsledků </w:t>
      </w:r>
      <w:proofErr w:type="spellStart"/>
      <w:r w:rsidRPr="00B66481">
        <w:rPr>
          <w:rFonts w:cstheme="minorHAnsi"/>
          <w:i/>
        </w:rPr>
        <w:t>pře</w:t>
      </w:r>
      <w:r w:rsidR="001F7C94">
        <w:rPr>
          <w:rFonts w:cstheme="minorHAnsi"/>
          <w:i/>
        </w:rPr>
        <w:t>r</w:t>
      </w:r>
      <w:r w:rsidRPr="00B66481">
        <w:rPr>
          <w:rFonts w:cstheme="minorHAnsi"/>
          <w:i/>
        </w:rPr>
        <w:t>egulovanosti</w:t>
      </w:r>
      <w:proofErr w:type="spellEnd"/>
      <w:r w:rsidRPr="00B66481">
        <w:rPr>
          <w:rFonts w:cstheme="minorHAnsi"/>
          <w:i/>
        </w:rPr>
        <w:t xml:space="preserve"> práva je současná krize dostupného bydlení v Praze,</w:t>
      </w:r>
      <w:r w:rsidRPr="00B66481">
        <w:rPr>
          <w:rFonts w:cstheme="minorHAnsi"/>
        </w:rPr>
        <w:t xml:space="preserve">“ upozornil šéf společnosti </w:t>
      </w:r>
      <w:proofErr w:type="spellStart"/>
      <w:r w:rsidRPr="00B66481">
        <w:rPr>
          <w:rFonts w:cstheme="minorHAnsi"/>
        </w:rPr>
        <w:t>Central</w:t>
      </w:r>
      <w:proofErr w:type="spellEnd"/>
      <w:r w:rsidRPr="00B66481">
        <w:rPr>
          <w:rFonts w:cstheme="minorHAnsi"/>
        </w:rPr>
        <w:t xml:space="preserve"> Group a člen SAR Dušan Kunovský. Povolit bytový dům v metropoli už totiž trvá deset let a ceny nových bytů se v důsledku jejich nedostatku vyšplhaly nad sto tisíc korun za metr čtvereční.</w:t>
      </w:r>
    </w:p>
    <w:p w:rsidR="00B66481" w:rsidRPr="00B66481" w:rsidRDefault="00B66481" w:rsidP="00B66481">
      <w:pPr>
        <w:rPr>
          <w:rFonts w:cstheme="minorHAnsi"/>
        </w:rPr>
      </w:pPr>
      <w:r w:rsidRPr="00B66481">
        <w:rPr>
          <w:rFonts w:cstheme="minorHAnsi"/>
          <w:i/>
        </w:rPr>
        <w:t xml:space="preserve">„Snaha o jedno řízení a o oddělení státní správy od politických a zájmových vlivů je chvályhodná, a pokud se podaří, </w:t>
      </w:r>
      <w:r w:rsidRPr="00B66481">
        <w:rPr>
          <w:rFonts w:cstheme="minorHAnsi"/>
          <w:b/>
          <w:i/>
        </w:rPr>
        <w:t>povolování staveb se výrazně zrychlí</w:t>
      </w:r>
      <w:r w:rsidRPr="00B66481">
        <w:rPr>
          <w:rFonts w:cstheme="minorHAnsi"/>
          <w:i/>
        </w:rPr>
        <w:t>,“</w:t>
      </w:r>
      <w:r w:rsidRPr="00B66481">
        <w:rPr>
          <w:rFonts w:cstheme="minorHAnsi"/>
        </w:rPr>
        <w:t xml:space="preserve"> je přesvědčena Renáta Pintová Králová, expertka na stavební právo a členka SAR.</w:t>
      </w:r>
      <w:r w:rsidRPr="00B66481">
        <w:rPr>
          <w:rFonts w:cstheme="minorHAnsi"/>
          <w:i/>
        </w:rPr>
        <w:t xml:space="preserve"> „Je logické, že o jedné stavbě se povede jedno stavební řízení u jednoho stavebního úřadu a jeho výsledkem bude jedno razítko a jedno odvolání,“</w:t>
      </w:r>
      <w:r w:rsidRPr="00B66481">
        <w:rPr>
          <w:rFonts w:cstheme="minorHAnsi"/>
        </w:rPr>
        <w:t xml:space="preserve"> doplnil</w:t>
      </w:r>
      <w:r w:rsidRPr="00B66481">
        <w:rPr>
          <w:rFonts w:cstheme="minorHAnsi"/>
          <w:i/>
        </w:rPr>
        <w:t xml:space="preserve"> </w:t>
      </w:r>
      <w:r w:rsidRPr="00B66481">
        <w:rPr>
          <w:rFonts w:cstheme="minorHAnsi"/>
        </w:rPr>
        <w:t xml:space="preserve">Pavel Hnilička, urbanista, architekt a člen SAR. </w:t>
      </w:r>
    </w:p>
    <w:p w:rsidR="00B66481" w:rsidRDefault="00B66481" w:rsidP="00B66481">
      <w:pPr>
        <w:rPr>
          <w:rFonts w:cstheme="minorHAnsi"/>
          <w:b/>
        </w:rPr>
      </w:pPr>
    </w:p>
    <w:p w:rsidR="00B66481" w:rsidRPr="00B66481" w:rsidRDefault="00B66481" w:rsidP="00B66481">
      <w:pPr>
        <w:rPr>
          <w:rFonts w:cstheme="minorHAnsi"/>
          <w:b/>
        </w:rPr>
      </w:pPr>
      <w:r w:rsidRPr="00B66481">
        <w:rPr>
          <w:rFonts w:cstheme="minorHAnsi"/>
          <w:b/>
        </w:rPr>
        <w:t xml:space="preserve">Ztrácíme </w:t>
      </w:r>
      <w:r w:rsidR="001F7C94">
        <w:rPr>
          <w:rFonts w:cstheme="minorHAnsi"/>
          <w:b/>
        </w:rPr>
        <w:t>n</w:t>
      </w:r>
      <w:r w:rsidRPr="00B66481">
        <w:rPr>
          <w:rFonts w:cstheme="minorHAnsi"/>
          <w:b/>
        </w:rPr>
        <w:t>a sousedy</w:t>
      </w:r>
    </w:p>
    <w:p w:rsidR="00B66481" w:rsidRPr="00B66481" w:rsidRDefault="00B66481" w:rsidP="00B66481">
      <w:pPr>
        <w:pStyle w:val="Normlnweb"/>
        <w:spacing w:before="0" w:beforeAutospacing="0" w:after="375" w:afterAutospacing="0" w:line="304" w:lineRule="atLeast"/>
        <w:rPr>
          <w:rFonts w:asciiTheme="minorHAnsi" w:hAnsiTheme="minorHAnsi" w:cstheme="minorHAnsi"/>
          <w:sz w:val="22"/>
          <w:szCs w:val="22"/>
        </w:rPr>
      </w:pPr>
      <w:r w:rsidRPr="00B66481">
        <w:rPr>
          <w:rFonts w:asciiTheme="minorHAnsi" w:hAnsiTheme="minorHAnsi" w:cstheme="minorHAnsi"/>
          <w:sz w:val="22"/>
          <w:szCs w:val="22"/>
        </w:rPr>
        <w:t>Stavební paralýza vede i ke snižování konkurenceschopnosti České republiky v očích zahraničních investorů. Česko těžce zaostává za západními, ale i středoevropskými sousedy</w:t>
      </w:r>
      <w:r w:rsidRPr="00B66481">
        <w:rPr>
          <w:rFonts w:asciiTheme="minorHAnsi" w:hAnsiTheme="minorHAnsi" w:cstheme="minorHAnsi"/>
          <w:bCs/>
          <w:sz w:val="22"/>
          <w:szCs w:val="22"/>
        </w:rPr>
        <w:t xml:space="preserve">. </w:t>
      </w:r>
      <w:r w:rsidRPr="00B66481">
        <w:rPr>
          <w:rFonts w:asciiTheme="minorHAnsi" w:hAnsiTheme="minorHAnsi" w:cstheme="minorHAnsi"/>
          <w:sz w:val="22"/>
          <w:szCs w:val="22"/>
        </w:rPr>
        <w:t xml:space="preserve">V žebříčku Světové banky </w:t>
      </w:r>
      <w:proofErr w:type="spellStart"/>
      <w:r w:rsidRPr="00B66481">
        <w:rPr>
          <w:rFonts w:asciiTheme="minorHAnsi" w:hAnsiTheme="minorHAnsi" w:cstheme="minorHAnsi"/>
          <w:sz w:val="22"/>
          <w:szCs w:val="22"/>
        </w:rPr>
        <w:t>Doing</w:t>
      </w:r>
      <w:proofErr w:type="spellEnd"/>
      <w:r w:rsidRPr="00B66481">
        <w:rPr>
          <w:rFonts w:asciiTheme="minorHAnsi" w:hAnsiTheme="minorHAnsi" w:cstheme="minorHAnsi"/>
          <w:sz w:val="22"/>
          <w:szCs w:val="22"/>
        </w:rPr>
        <w:t xml:space="preserve"> </w:t>
      </w:r>
      <w:r w:rsidRPr="00B66481">
        <w:rPr>
          <w:rFonts w:asciiTheme="minorHAnsi" w:hAnsiTheme="minorHAnsi" w:cstheme="minorHAnsi"/>
          <w:sz w:val="22"/>
          <w:szCs w:val="22"/>
        </w:rPr>
        <w:lastRenderedPageBreak/>
        <w:t>Business v kategorii srovnávající obtížnost získání stavebního povolení jsme se totiž umístili na nelichotivém 156. místě, což znamená ztrátu 13 míst na Slovensko</w:t>
      </w:r>
      <w:r w:rsidR="001F7C94">
        <w:rPr>
          <w:rFonts w:asciiTheme="minorHAnsi" w:hAnsiTheme="minorHAnsi" w:cstheme="minorHAnsi"/>
          <w:sz w:val="22"/>
          <w:szCs w:val="22"/>
        </w:rPr>
        <w:t>.</w:t>
      </w:r>
      <w:bookmarkStart w:id="0" w:name="_GoBack"/>
      <w:bookmarkEnd w:id="0"/>
      <w:r w:rsidRPr="00B66481">
        <w:rPr>
          <w:rFonts w:asciiTheme="minorHAnsi" w:hAnsiTheme="minorHAnsi" w:cstheme="minorHAnsi"/>
          <w:sz w:val="22"/>
          <w:szCs w:val="22"/>
        </w:rPr>
        <w:t xml:space="preserve"> K ostatním sousedům máme ještě dál. Pomyslné „světelné roky“ nás dělí od 24. Německa, více než sto míst ztrácíme i na Rakousko a Polsko, které v letošním žebříčku obsadily 42. respektive 40. místo.</w:t>
      </w:r>
      <w:r w:rsidR="007E5EC7">
        <w:rPr>
          <w:rFonts w:asciiTheme="minorHAnsi" w:hAnsiTheme="minorHAnsi" w:cstheme="minorHAnsi"/>
          <w:sz w:val="22"/>
          <w:szCs w:val="22"/>
        </w:rPr>
        <w:t xml:space="preserve"> Přitom žebříček posuzuje jen oficiální lhůty dané zákonem. Na 156. místo nás tak řadí 247 dní schvalování, se kterými počítá zákon. Realita je však zcela jiná. Povolit běžný bytový dům dnes trvá i deset let.</w:t>
      </w:r>
    </w:p>
    <w:p w:rsidR="00B66481" w:rsidRPr="00B66481" w:rsidRDefault="00B66481" w:rsidP="00B66481">
      <w:pPr>
        <w:pStyle w:val="Normlnweb"/>
        <w:spacing w:before="0" w:beforeAutospacing="0" w:after="0" w:afterAutospacing="0" w:line="304" w:lineRule="atLeast"/>
        <w:rPr>
          <w:rFonts w:asciiTheme="minorHAnsi" w:hAnsiTheme="minorHAnsi" w:cstheme="minorHAnsi"/>
          <w:sz w:val="22"/>
          <w:szCs w:val="22"/>
        </w:rPr>
      </w:pPr>
      <w:r w:rsidRPr="00B66481">
        <w:rPr>
          <w:rFonts w:asciiTheme="minorHAnsi" w:hAnsiTheme="minorHAnsi" w:cstheme="minorHAnsi"/>
          <w:i/>
          <w:iCs/>
          <w:sz w:val="22"/>
          <w:szCs w:val="22"/>
          <w:bdr w:val="none" w:sz="0" w:space="0" w:color="auto" w:frame="1"/>
        </w:rPr>
        <w:t xml:space="preserve">„Loňské výsledky bohužel opět potvrdily to, co zaznívá z odborných kruhů již dlouho: podmínky pro výstavbu jsou u nás nadále velmi složité a získat stavební povolení trvá neúměrně dlouho. Jak napovídá i název studie </w:t>
      </w:r>
      <w:proofErr w:type="spellStart"/>
      <w:r w:rsidRPr="00B66481">
        <w:rPr>
          <w:rFonts w:asciiTheme="minorHAnsi" w:hAnsiTheme="minorHAnsi" w:cstheme="minorHAnsi"/>
          <w:i/>
          <w:iCs/>
          <w:sz w:val="22"/>
          <w:szCs w:val="22"/>
          <w:bdr w:val="none" w:sz="0" w:space="0" w:color="auto" w:frame="1"/>
        </w:rPr>
        <w:t>Doing</w:t>
      </w:r>
      <w:proofErr w:type="spellEnd"/>
      <w:r w:rsidRPr="00B66481">
        <w:rPr>
          <w:rFonts w:asciiTheme="minorHAnsi" w:hAnsiTheme="minorHAnsi" w:cstheme="minorHAnsi"/>
          <w:i/>
          <w:iCs/>
          <w:sz w:val="22"/>
          <w:szCs w:val="22"/>
          <w:bdr w:val="none" w:sz="0" w:space="0" w:color="auto" w:frame="1"/>
        </w:rPr>
        <w:t xml:space="preserve"> Business, z dlouhodobého hlediska poškozují nastavené podmínky i </w:t>
      </w:r>
      <w:r w:rsidRPr="00B66481">
        <w:rPr>
          <w:rFonts w:asciiTheme="minorHAnsi" w:hAnsiTheme="minorHAnsi" w:cstheme="minorHAnsi"/>
          <w:b/>
          <w:i/>
          <w:iCs/>
          <w:sz w:val="22"/>
          <w:szCs w:val="22"/>
          <w:bdr w:val="none" w:sz="0" w:space="0" w:color="auto" w:frame="1"/>
        </w:rPr>
        <w:t>konkurenceschopnost celé České republiky</w:t>
      </w:r>
      <w:r w:rsidRPr="00B66481">
        <w:rPr>
          <w:rFonts w:asciiTheme="minorHAnsi" w:hAnsiTheme="minorHAnsi" w:cstheme="minorHAnsi"/>
          <w:i/>
          <w:iCs/>
          <w:sz w:val="22"/>
          <w:szCs w:val="22"/>
          <w:bdr w:val="none" w:sz="0" w:space="0" w:color="auto" w:frame="1"/>
        </w:rPr>
        <w:t>,“</w:t>
      </w:r>
      <w:r w:rsidRPr="00B66481">
        <w:rPr>
          <w:rStyle w:val="apple-converted-space"/>
          <w:rFonts w:asciiTheme="minorHAnsi" w:hAnsiTheme="minorHAnsi" w:cstheme="minorHAnsi"/>
          <w:sz w:val="22"/>
          <w:szCs w:val="22"/>
        </w:rPr>
        <w:t> </w:t>
      </w:r>
      <w:r w:rsidRPr="00B66481">
        <w:rPr>
          <w:rFonts w:asciiTheme="minorHAnsi" w:hAnsiTheme="minorHAnsi" w:cstheme="minorHAnsi"/>
          <w:sz w:val="22"/>
          <w:szCs w:val="22"/>
        </w:rPr>
        <w:t>uvedl Pavel Kliment, partner KPMG a člen SAR.</w:t>
      </w:r>
    </w:p>
    <w:p w:rsidR="00B66481" w:rsidRPr="00B66481" w:rsidRDefault="00B66481" w:rsidP="00B66481">
      <w:pPr>
        <w:pStyle w:val="Normlnweb"/>
        <w:spacing w:before="0" w:beforeAutospacing="0" w:after="0" w:afterAutospacing="0" w:line="304" w:lineRule="atLeast"/>
        <w:rPr>
          <w:rFonts w:asciiTheme="minorHAnsi" w:hAnsiTheme="minorHAnsi" w:cstheme="minorHAnsi"/>
          <w:sz w:val="22"/>
          <w:szCs w:val="22"/>
        </w:rPr>
      </w:pPr>
    </w:p>
    <w:p w:rsidR="00B66481" w:rsidRDefault="00B66481" w:rsidP="00B66481">
      <w:pPr>
        <w:pStyle w:val="Normlnweb"/>
        <w:spacing w:before="0" w:beforeAutospacing="0" w:after="0" w:afterAutospacing="0" w:line="304" w:lineRule="atLeast"/>
        <w:rPr>
          <w:rFonts w:asciiTheme="minorHAnsi" w:hAnsiTheme="minorHAnsi" w:cstheme="minorHAnsi"/>
          <w:b/>
          <w:sz w:val="22"/>
          <w:szCs w:val="22"/>
        </w:rPr>
      </w:pPr>
    </w:p>
    <w:p w:rsidR="00B66481" w:rsidRPr="00B66481" w:rsidRDefault="00B66481" w:rsidP="00B66481">
      <w:pPr>
        <w:pStyle w:val="Normlnweb"/>
        <w:spacing w:before="0" w:beforeAutospacing="0" w:after="0" w:afterAutospacing="0" w:line="304" w:lineRule="atLeast"/>
        <w:rPr>
          <w:rFonts w:asciiTheme="minorHAnsi" w:hAnsiTheme="minorHAnsi" w:cstheme="minorHAnsi"/>
          <w:b/>
          <w:sz w:val="22"/>
          <w:szCs w:val="22"/>
        </w:rPr>
      </w:pPr>
      <w:r w:rsidRPr="00B66481">
        <w:rPr>
          <w:rFonts w:asciiTheme="minorHAnsi" w:hAnsiTheme="minorHAnsi" w:cstheme="minorHAnsi"/>
          <w:b/>
          <w:sz w:val="22"/>
          <w:szCs w:val="22"/>
        </w:rPr>
        <w:t>Chtít stavět</w:t>
      </w:r>
    </w:p>
    <w:p w:rsidR="00B66481" w:rsidRPr="00B66481" w:rsidRDefault="00B66481" w:rsidP="00B66481">
      <w:pPr>
        <w:pStyle w:val="Normlnweb"/>
        <w:spacing w:before="0" w:beforeAutospacing="0" w:after="0" w:afterAutospacing="0" w:line="304" w:lineRule="atLeast"/>
        <w:rPr>
          <w:rFonts w:asciiTheme="minorHAnsi" w:hAnsiTheme="minorHAnsi" w:cstheme="minorHAnsi"/>
          <w:b/>
          <w:sz w:val="22"/>
          <w:szCs w:val="22"/>
        </w:rPr>
      </w:pPr>
    </w:p>
    <w:p w:rsidR="00B66481" w:rsidRPr="00B66481" w:rsidRDefault="00B66481" w:rsidP="00B66481">
      <w:pPr>
        <w:pStyle w:val="Normlnweb"/>
        <w:spacing w:before="0" w:beforeAutospacing="0" w:after="0" w:afterAutospacing="0" w:line="304" w:lineRule="atLeast"/>
        <w:rPr>
          <w:rFonts w:asciiTheme="minorHAnsi" w:hAnsiTheme="minorHAnsi" w:cstheme="minorHAnsi"/>
          <w:sz w:val="22"/>
          <w:szCs w:val="22"/>
        </w:rPr>
      </w:pPr>
      <w:r w:rsidRPr="00B66481">
        <w:rPr>
          <w:rFonts w:asciiTheme="minorHAnsi" w:hAnsiTheme="minorHAnsi" w:cstheme="minorHAnsi"/>
          <w:sz w:val="22"/>
          <w:szCs w:val="22"/>
        </w:rPr>
        <w:t>Ani sebepreciznější paragrafy nás ale nespasí, pokud česká legislativa nepřestane hledět na</w:t>
      </w:r>
      <w:r w:rsidRPr="00B66481">
        <w:rPr>
          <w:rStyle w:val="apple-converted-space"/>
          <w:rFonts w:asciiTheme="minorHAnsi" w:hAnsiTheme="minorHAnsi" w:cstheme="minorHAnsi"/>
          <w:sz w:val="22"/>
          <w:szCs w:val="22"/>
        </w:rPr>
        <w:t> </w:t>
      </w:r>
      <w:r w:rsidRPr="00B66481">
        <w:rPr>
          <w:rStyle w:val="Siln"/>
          <w:rFonts w:asciiTheme="minorHAnsi" w:hAnsiTheme="minorHAnsi" w:cstheme="minorHAnsi"/>
          <w:sz w:val="22"/>
          <w:szCs w:val="22"/>
          <w:bdr w:val="none" w:sz="0" w:space="0" w:color="auto" w:frame="1"/>
        </w:rPr>
        <w:t>investora jako na zločince</w:t>
      </w:r>
      <w:r w:rsidRPr="00B66481">
        <w:rPr>
          <w:rFonts w:asciiTheme="minorHAnsi" w:hAnsiTheme="minorHAnsi" w:cstheme="minorHAnsi"/>
          <w:sz w:val="22"/>
          <w:szCs w:val="22"/>
        </w:rPr>
        <w:t>, který musí zdlouhavě prokazovat, že zločincem není, stavební úřady nezačnou sebevědomě rozhodovat a soudy nepřestanou stavět formalismus nad selský rozum. „</w:t>
      </w:r>
      <w:r w:rsidRPr="00B66481">
        <w:rPr>
          <w:rFonts w:asciiTheme="minorHAnsi" w:hAnsiTheme="minorHAnsi" w:cstheme="minorHAnsi"/>
          <w:i/>
          <w:sz w:val="22"/>
          <w:szCs w:val="22"/>
        </w:rPr>
        <w:t>V zákoně by měl být zakódovaný entuziasmus, aby se stavělo, aby se budovalo. Duch zákona totiž může být pozitivní nebo negativní. Otevřené dveře, aby se při splnění jasně daných podmínek snadno stavělo, v tom současném nenacházím,“</w:t>
      </w:r>
      <w:r w:rsidRPr="00B66481">
        <w:rPr>
          <w:rFonts w:asciiTheme="minorHAnsi" w:hAnsiTheme="minorHAnsi" w:cstheme="minorHAnsi"/>
          <w:sz w:val="22"/>
          <w:szCs w:val="22"/>
        </w:rPr>
        <w:t xml:space="preserve"> podotkl Josef Pleskot, architekt a člen SAR. </w:t>
      </w:r>
    </w:p>
    <w:p w:rsidR="00794D11" w:rsidRPr="00B66481" w:rsidRDefault="00794D11" w:rsidP="00B66481"/>
    <w:sectPr w:rsidR="00794D11" w:rsidRPr="00B66481" w:rsidSect="00324C24">
      <w:headerReference w:type="even" r:id="rId8"/>
      <w:headerReference w:type="default" r:id="rId9"/>
      <w:footerReference w:type="even" r:id="rId10"/>
      <w:footerReference w:type="default" r:id="rId11"/>
      <w:headerReference w:type="first" r:id="rId12"/>
      <w:footerReference w:type="first" r:id="rId13"/>
      <w:pgSz w:w="11906" w:h="16838" w:code="9"/>
      <w:pgMar w:top="4536" w:right="1134" w:bottom="1418" w:left="1134" w:header="102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E8F" w:rsidRDefault="00795E8F" w:rsidP="00DE0114">
      <w:pPr>
        <w:spacing w:after="0" w:line="240" w:lineRule="auto"/>
      </w:pPr>
      <w:r>
        <w:separator/>
      </w:r>
    </w:p>
  </w:endnote>
  <w:endnote w:type="continuationSeparator" w:id="0">
    <w:p w:rsidR="00795E8F" w:rsidRDefault="00795E8F"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81" w:rsidRDefault="00B664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5E" w:rsidRDefault="00701D19">
    <w:pPr>
      <w:pStyle w:val="Zpat"/>
    </w:pPr>
    <w:r>
      <w:rPr>
        <w:noProof/>
        <w:lang w:eastAsia="cs-CZ"/>
      </w:rPr>
      <w:drawing>
        <wp:anchor distT="0" distB="0" distL="114300" distR="114300" simplePos="0" relativeHeight="251658240" behindDoc="1" locked="0" layoutInCell="1" allowOverlap="1" wp14:anchorId="18D74889" wp14:editId="16066E56">
          <wp:simplePos x="723900" y="7458075"/>
          <wp:positionH relativeFrom="page">
            <wp:align>left</wp:align>
          </wp:positionH>
          <wp:positionV relativeFrom="page">
            <wp:align>bottom</wp:align>
          </wp:positionV>
          <wp:extent cx="7560000" cy="3592800"/>
          <wp:effectExtent l="0" t="0" r="3175" b="8255"/>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81" w:rsidRDefault="00B664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E8F" w:rsidRDefault="00795E8F" w:rsidP="00DE0114">
      <w:pPr>
        <w:spacing w:after="0" w:line="240" w:lineRule="auto"/>
      </w:pPr>
      <w:r>
        <w:separator/>
      </w:r>
    </w:p>
  </w:footnote>
  <w:footnote w:type="continuationSeparator" w:id="0">
    <w:p w:rsidR="00795E8F" w:rsidRDefault="00795E8F"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81" w:rsidRDefault="00B6648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Pr="00324C24" w:rsidRDefault="0011215E" w:rsidP="00E3757C">
    <w:pPr>
      <w:pStyle w:val="Zhlav"/>
      <w:jc w:val="right"/>
      <w:rPr>
        <w:color w:val="565656"/>
        <w:sz w:val="36"/>
        <w:szCs w:val="36"/>
      </w:rPr>
    </w:pPr>
    <w:r w:rsidRPr="00324C24">
      <w:rPr>
        <w:noProof/>
        <w:sz w:val="36"/>
        <w:szCs w:val="36"/>
        <w:lang w:eastAsia="cs-CZ"/>
      </w:rPr>
      <w:drawing>
        <wp:anchor distT="0" distB="0" distL="114300" distR="114300" simplePos="0" relativeHeight="251665408" behindDoc="1" locked="0" layoutInCell="1" allowOverlap="1" wp14:anchorId="1DCA73E4" wp14:editId="7ACCAB5F">
          <wp:simplePos x="0" y="0"/>
          <wp:positionH relativeFrom="page">
            <wp:posOffset>0</wp:posOffset>
          </wp:positionH>
          <wp:positionV relativeFrom="page">
            <wp:posOffset>0</wp:posOffset>
          </wp:positionV>
          <wp:extent cx="7560000" cy="4039200"/>
          <wp:effectExtent l="0" t="0" r="3175" b="0"/>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0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57C" w:rsidRPr="00324C24">
      <w:rPr>
        <w:sz w:val="36"/>
        <w:szCs w:val="36"/>
      </w:rPr>
      <w:t xml:space="preserve"> </w:t>
    </w:r>
    <w:r w:rsidR="00E3757C" w:rsidRPr="00324C24">
      <w:rPr>
        <w:color w:val="565656"/>
        <w:sz w:val="36"/>
        <w:szCs w:val="36"/>
      </w:rPr>
      <w:t>TISKOVÁ ZPRÁVA</w:t>
    </w:r>
  </w:p>
  <w:p w:rsidR="00E3757C" w:rsidRPr="00324C24" w:rsidRDefault="00B66481" w:rsidP="00E3757C">
    <w:pPr>
      <w:pStyle w:val="Zhlav"/>
      <w:jc w:val="right"/>
      <w:rPr>
        <w:color w:val="565656"/>
      </w:rPr>
    </w:pPr>
    <w:r>
      <w:rPr>
        <w:color w:val="565656"/>
      </w:rPr>
      <w:t>1</w:t>
    </w:r>
    <w:r w:rsidR="00E3757C" w:rsidRPr="00324C24">
      <w:rPr>
        <w:color w:val="565656"/>
      </w:rPr>
      <w:t xml:space="preserve">. </w:t>
    </w:r>
    <w:r>
      <w:rPr>
        <w:color w:val="565656"/>
      </w:rPr>
      <w:t>2</w:t>
    </w:r>
    <w:r w:rsidR="00E3757C" w:rsidRPr="00324C24">
      <w:rPr>
        <w:color w:val="565656"/>
      </w:rPr>
      <w:t>. 201</w:t>
    </w:r>
    <w:r w:rsidR="00794D11">
      <w:rPr>
        <w:color w:val="565656"/>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81" w:rsidRDefault="00B664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91326"/>
    <w:multiLevelType w:val="hybridMultilevel"/>
    <w:tmpl w:val="4546FBC8"/>
    <w:lvl w:ilvl="0" w:tplc="FD5A2E84">
      <w:numFmt w:val="bullet"/>
      <w:lvlText w:val="-"/>
      <w:lvlJc w:val="left"/>
      <w:pPr>
        <w:ind w:left="720" w:hanging="360"/>
      </w:pPr>
      <w:rPr>
        <w:rFonts w:ascii="Calibri" w:eastAsiaTheme="minorHAnsi" w:hAnsi="Calibri" w:cs="Calibri" w:hint="default"/>
      </w:rPr>
    </w:lvl>
    <w:lvl w:ilvl="1" w:tplc="FD5A2E84">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F07279"/>
    <w:multiLevelType w:val="hybridMultilevel"/>
    <w:tmpl w:val="BDCCAFEC"/>
    <w:lvl w:ilvl="0" w:tplc="FD5A2E8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E15184"/>
    <w:multiLevelType w:val="hybridMultilevel"/>
    <w:tmpl w:val="04522C30"/>
    <w:lvl w:ilvl="0" w:tplc="FD5A2E8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4"/>
    <w:rsid w:val="00036F26"/>
    <w:rsid w:val="000A1FAB"/>
    <w:rsid w:val="000F06E5"/>
    <w:rsid w:val="0011215E"/>
    <w:rsid w:val="00125AAF"/>
    <w:rsid w:val="001438DD"/>
    <w:rsid w:val="001B7196"/>
    <w:rsid w:val="001E35E7"/>
    <w:rsid w:val="001E4136"/>
    <w:rsid w:val="001F7C94"/>
    <w:rsid w:val="00215204"/>
    <w:rsid w:val="002411EA"/>
    <w:rsid w:val="00246B23"/>
    <w:rsid w:val="0029500D"/>
    <w:rsid w:val="002D7BFD"/>
    <w:rsid w:val="002F4809"/>
    <w:rsid w:val="00303AF2"/>
    <w:rsid w:val="00324C24"/>
    <w:rsid w:val="003812BC"/>
    <w:rsid w:val="003D6C23"/>
    <w:rsid w:val="003F2314"/>
    <w:rsid w:val="00426F4F"/>
    <w:rsid w:val="004F541E"/>
    <w:rsid w:val="004F5598"/>
    <w:rsid w:val="00512AF5"/>
    <w:rsid w:val="005F1629"/>
    <w:rsid w:val="0063131E"/>
    <w:rsid w:val="00647542"/>
    <w:rsid w:val="00647E05"/>
    <w:rsid w:val="00665BE4"/>
    <w:rsid w:val="00701D19"/>
    <w:rsid w:val="00794D11"/>
    <w:rsid w:val="00795E8F"/>
    <w:rsid w:val="007A3FBB"/>
    <w:rsid w:val="007E5EC7"/>
    <w:rsid w:val="007F2358"/>
    <w:rsid w:val="008354C4"/>
    <w:rsid w:val="008657D4"/>
    <w:rsid w:val="008C0CD0"/>
    <w:rsid w:val="00971C12"/>
    <w:rsid w:val="00982193"/>
    <w:rsid w:val="009D3A22"/>
    <w:rsid w:val="00A27BBD"/>
    <w:rsid w:val="00A420A8"/>
    <w:rsid w:val="00A44456"/>
    <w:rsid w:val="00A47265"/>
    <w:rsid w:val="00A628FF"/>
    <w:rsid w:val="00A97A34"/>
    <w:rsid w:val="00AD7226"/>
    <w:rsid w:val="00AE27AB"/>
    <w:rsid w:val="00AF0E9A"/>
    <w:rsid w:val="00B51DD8"/>
    <w:rsid w:val="00B613CF"/>
    <w:rsid w:val="00B66481"/>
    <w:rsid w:val="00B72385"/>
    <w:rsid w:val="00B72E42"/>
    <w:rsid w:val="00BB2BE0"/>
    <w:rsid w:val="00BD218E"/>
    <w:rsid w:val="00C7766C"/>
    <w:rsid w:val="00C91EA0"/>
    <w:rsid w:val="00CD0ED3"/>
    <w:rsid w:val="00D3382D"/>
    <w:rsid w:val="00D65560"/>
    <w:rsid w:val="00D65976"/>
    <w:rsid w:val="00D82C0B"/>
    <w:rsid w:val="00D944C4"/>
    <w:rsid w:val="00DC5521"/>
    <w:rsid w:val="00DE0114"/>
    <w:rsid w:val="00DF5F1E"/>
    <w:rsid w:val="00E3757C"/>
    <w:rsid w:val="00EB3C06"/>
    <w:rsid w:val="00EB66CA"/>
    <w:rsid w:val="00EE1714"/>
    <w:rsid w:val="00F207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C962F"/>
  <w15:docId w15:val="{7491C21E-4496-48E4-8F87-0667B99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66481"/>
    <w:pPr>
      <w:spacing w:after="200" w:line="276" w:lineRule="auto"/>
    </w:pPr>
  </w:style>
  <w:style w:type="paragraph" w:styleId="Nadpis1">
    <w:name w:val="heading 1"/>
    <w:basedOn w:val="Normln"/>
    <w:next w:val="Normln"/>
    <w:link w:val="Nadpis1Char"/>
    <w:uiPriority w:val="9"/>
    <w:qFormat/>
    <w:rsid w:val="00DE011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styleId="Hypertextovodkaz">
    <w:name w:val="Hyperlink"/>
    <w:basedOn w:val="Standardnpsmoodstavce"/>
    <w:uiPriority w:val="99"/>
    <w:unhideWhenUsed/>
    <w:rsid w:val="00EB3C06"/>
    <w:rPr>
      <w:color w:val="0563C1" w:themeColor="hyperlink"/>
      <w:u w:val="single"/>
    </w:rPr>
  </w:style>
  <w:style w:type="paragraph" w:styleId="Odstavecseseznamem">
    <w:name w:val="List Paragraph"/>
    <w:basedOn w:val="Normln"/>
    <w:uiPriority w:val="34"/>
    <w:qFormat/>
    <w:rsid w:val="00B51DD8"/>
    <w:pPr>
      <w:spacing w:after="0" w:line="240" w:lineRule="auto"/>
      <w:ind w:left="720"/>
    </w:pPr>
    <w:rPr>
      <w:rFonts w:ascii="Calibri" w:hAnsi="Calibri" w:cs="Calibri"/>
    </w:rPr>
  </w:style>
  <w:style w:type="character" w:customStyle="1" w:styleId="apple-converted-space">
    <w:name w:val="apple-converted-space"/>
    <w:basedOn w:val="Standardnpsmoodstavce"/>
    <w:rsid w:val="00B66481"/>
  </w:style>
  <w:style w:type="character" w:styleId="Siln">
    <w:name w:val="Strong"/>
    <w:basedOn w:val="Standardnpsmoodstavce"/>
    <w:uiPriority w:val="22"/>
    <w:qFormat/>
    <w:rsid w:val="00B66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7940-E47B-4BBE-B719-86DBAE00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3196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stanek</dc:creator>
  <cp:lastModifiedBy>fialkova</cp:lastModifiedBy>
  <cp:revision>3</cp:revision>
  <cp:lastPrinted>2019-02-01T07:27:00Z</cp:lastPrinted>
  <dcterms:created xsi:type="dcterms:W3CDTF">2019-02-01T07:32:00Z</dcterms:created>
  <dcterms:modified xsi:type="dcterms:W3CDTF">2019-02-01T10:00:00Z</dcterms:modified>
</cp:coreProperties>
</file>