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E27A8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291465</wp:posOffset>
                </wp:positionV>
                <wp:extent cx="4340860" cy="0"/>
                <wp:effectExtent l="9525" t="11430" r="12065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89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22.95pt;width:341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3B44ED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</w:t>
      </w:r>
      <w:r w:rsidR="00C32128">
        <w:rPr>
          <w:color w:val="17365D"/>
          <w:sz w:val="30"/>
          <w:szCs w:val="30"/>
        </w:rPr>
        <w:t>2</w:t>
      </w:r>
      <w:r w:rsidR="00FF22D6">
        <w:rPr>
          <w:color w:val="17365D"/>
          <w:sz w:val="30"/>
          <w:szCs w:val="30"/>
        </w:rPr>
        <w:t>.2.2015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167EA3" w:rsidRDefault="00167EA3" w:rsidP="00BF14CC">
      <w:pPr>
        <w:spacing w:after="0"/>
        <w:jc w:val="both"/>
        <w:rPr>
          <w:rFonts w:ascii="Arial Black" w:hAnsi="Arial Black"/>
          <w:color w:val="000000" w:themeColor="text1"/>
          <w:sz w:val="34"/>
          <w:szCs w:val="34"/>
        </w:rPr>
      </w:pPr>
      <w:r w:rsidRPr="00167EA3">
        <w:rPr>
          <w:rFonts w:ascii="Arial Black" w:hAnsi="Arial Black"/>
          <w:color w:val="000000" w:themeColor="text1"/>
          <w:sz w:val="34"/>
          <w:szCs w:val="34"/>
        </w:rPr>
        <w:t>CENTRAL GROUP zahájil i letošní rok akvizic</w:t>
      </w:r>
      <w:r w:rsidR="003B44ED">
        <w:rPr>
          <w:rFonts w:ascii="Arial Black" w:hAnsi="Arial Black"/>
          <w:color w:val="000000" w:themeColor="text1"/>
          <w:sz w:val="34"/>
          <w:szCs w:val="34"/>
        </w:rPr>
        <w:t>emi</w:t>
      </w:r>
      <w:r w:rsidRPr="00167EA3">
        <w:rPr>
          <w:rFonts w:ascii="Arial Black" w:hAnsi="Arial Black"/>
          <w:color w:val="000000" w:themeColor="text1"/>
          <w:sz w:val="34"/>
          <w:szCs w:val="34"/>
        </w:rPr>
        <w:t xml:space="preserve">. </w:t>
      </w:r>
      <w:r w:rsidR="003B44ED">
        <w:rPr>
          <w:rFonts w:ascii="Arial Black" w:hAnsi="Arial Black"/>
          <w:color w:val="000000" w:themeColor="text1"/>
          <w:sz w:val="34"/>
          <w:szCs w:val="34"/>
        </w:rPr>
        <w:br/>
        <w:t>Další pozemky získal v</w:t>
      </w:r>
      <w:r w:rsidR="003B44ED" w:rsidRPr="00167EA3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Pr="00167EA3">
        <w:rPr>
          <w:rFonts w:ascii="Arial Black" w:hAnsi="Arial Black"/>
          <w:color w:val="000000" w:themeColor="text1"/>
          <w:sz w:val="34"/>
          <w:szCs w:val="34"/>
        </w:rPr>
        <w:t>Horních Měcholupech</w:t>
      </w:r>
      <w:r w:rsidR="003B44ED">
        <w:rPr>
          <w:rFonts w:ascii="Arial Black" w:hAnsi="Arial Black"/>
          <w:color w:val="000000" w:themeColor="text1"/>
          <w:sz w:val="34"/>
          <w:szCs w:val="34"/>
        </w:rPr>
        <w:t xml:space="preserve"> a ve Stodůlkách</w:t>
      </w:r>
    </w:p>
    <w:p w:rsidR="00FF22D6" w:rsidRPr="00FF22D6" w:rsidRDefault="00FF22D6" w:rsidP="00D763B7">
      <w:pPr>
        <w:spacing w:after="0"/>
        <w:rPr>
          <w:rFonts w:ascii="Arial Black" w:hAnsi="Arial Black"/>
          <w:color w:val="000000" w:themeColor="text1"/>
        </w:rPr>
      </w:pPr>
    </w:p>
    <w:p w:rsidR="00FF22D6" w:rsidRPr="003B44ED" w:rsidRDefault="00167EA3" w:rsidP="00FF22D6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1</w:t>
      </w:r>
      <w:r w:rsidR="00C32128">
        <w:rPr>
          <w:rFonts w:ascii="Arial" w:hAnsi="Arial" w:cs="Arial"/>
          <w:i/>
          <w:sz w:val="24"/>
          <w:szCs w:val="24"/>
          <w:lang w:eastAsia="cs-CZ"/>
        </w:rPr>
        <w:t>2</w:t>
      </w:r>
      <w:r w:rsidR="00FF22D6">
        <w:rPr>
          <w:rFonts w:ascii="Arial" w:hAnsi="Arial" w:cs="Arial"/>
          <w:i/>
          <w:sz w:val="24"/>
          <w:szCs w:val="24"/>
          <w:lang w:eastAsia="cs-CZ"/>
        </w:rPr>
        <w:t>.2</w:t>
      </w:r>
      <w:r w:rsidR="00ED31C9">
        <w:rPr>
          <w:rFonts w:ascii="Arial" w:hAnsi="Arial" w:cs="Arial"/>
          <w:i/>
          <w:sz w:val="24"/>
          <w:szCs w:val="24"/>
          <w:lang w:eastAsia="cs-CZ"/>
        </w:rPr>
        <w:t>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F22D6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Největší český rezidenční developer a investor CENTRAL GROUP 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zahájil i letošní rok nákup</w:t>
      </w:r>
      <w:r w:rsidR="003B44ED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y nových pozemků</w:t>
      </w:r>
      <w:r w:rsidR="00FF22D6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Svůj záměr překonat v akvizicích prozatím rekordní rok</w:t>
      </w:r>
      <w:r w:rsidR="00AB1FC1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2014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, kdy se stal s celkem 12 novými lokalitami jednoznačně nejaktivnějším investorem, </w:t>
      </w:r>
      <w:r w:rsidR="00AB1FC1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plní hned od ledna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 Nejnovějším</w:t>
      </w:r>
      <w:r w:rsidR="003B44ED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i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přírůst</w:t>
      </w:r>
      <w:r w:rsidR="00AB1FC1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k</w:t>
      </w:r>
      <w:r w:rsidR="003B44ED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y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do portfolia </w:t>
      </w:r>
      <w:r w:rsidR="003B44ED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společnosti jsou pozemky 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pro výstavbu zhruba </w:t>
      </w:r>
      <w:r w:rsidR="003B44ED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100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bytů v Horních Měcholupech</w:t>
      </w:r>
      <w:r w:rsidR="003B44ED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a </w:t>
      </w:r>
      <w:r w:rsidR="000D7558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téměř</w:t>
      </w:r>
      <w:r w:rsidR="003B44ED"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50 bytů ve Stodůlkách</w:t>
      </w:r>
      <w:r w:rsidRPr="003B44E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  <w:r w:rsidR="000D7558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Na nákup nových pozemků má CENTRAL GROUP, stejně jako v loňském roce, i letos vyčleněno nejméně 1,5 miliardy korun.</w:t>
      </w:r>
    </w:p>
    <w:p w:rsidR="00167EA3" w:rsidRPr="002C213A" w:rsidRDefault="00167EA3" w:rsidP="00FF22D6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</w:p>
    <w:p w:rsidR="00167EA3" w:rsidRPr="003B44ED" w:rsidRDefault="00167EA3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3B44ED">
        <w:rPr>
          <w:rFonts w:ascii="Arial" w:hAnsi="Arial" w:cs="Arial"/>
          <w:color w:val="000000" w:themeColor="text1"/>
          <w:lang w:eastAsia="cs-CZ"/>
        </w:rPr>
        <w:t>Nov</w:t>
      </w:r>
      <w:r w:rsidR="00DF09F9" w:rsidRPr="003B44ED">
        <w:rPr>
          <w:rFonts w:ascii="Arial" w:hAnsi="Arial" w:cs="Arial"/>
          <w:color w:val="000000" w:themeColor="text1"/>
          <w:lang w:eastAsia="cs-CZ"/>
        </w:rPr>
        <w:t>ě za</w:t>
      </w:r>
      <w:r w:rsidRPr="003B44ED">
        <w:rPr>
          <w:rFonts w:ascii="Arial" w:hAnsi="Arial" w:cs="Arial"/>
          <w:color w:val="000000" w:themeColor="text1"/>
          <w:lang w:eastAsia="cs-CZ"/>
        </w:rPr>
        <w:t>koupený pozemek</w:t>
      </w:r>
      <w:r w:rsidR="003B44ED" w:rsidRPr="003B44ED">
        <w:rPr>
          <w:rFonts w:ascii="Arial" w:hAnsi="Arial" w:cs="Arial"/>
          <w:color w:val="000000" w:themeColor="text1"/>
          <w:lang w:eastAsia="cs-CZ"/>
        </w:rPr>
        <w:t xml:space="preserve"> v Horních Měcholupech</w:t>
      </w:r>
      <w:r w:rsidRPr="003B44ED">
        <w:rPr>
          <w:rFonts w:ascii="Arial" w:hAnsi="Arial" w:cs="Arial"/>
          <w:color w:val="000000" w:themeColor="text1"/>
          <w:lang w:eastAsia="cs-CZ"/>
        </w:rPr>
        <w:t xml:space="preserve"> o rozloze přibližně 8 tisíc metrů čtverečních sousedí ze severu s právě realizovanou poslední etapou lokality Javorová čtvrť. V budoucnu by </w:t>
      </w:r>
      <w:r w:rsidR="00DF09F9" w:rsidRPr="003B44ED">
        <w:rPr>
          <w:rFonts w:ascii="Arial" w:hAnsi="Arial" w:cs="Arial"/>
          <w:color w:val="000000" w:themeColor="text1"/>
          <w:lang w:eastAsia="cs-CZ"/>
        </w:rPr>
        <w:t>na něm</w:t>
      </w:r>
      <w:r w:rsidRPr="003B44ED">
        <w:rPr>
          <w:rFonts w:ascii="Arial" w:hAnsi="Arial" w:cs="Arial"/>
          <w:color w:val="000000" w:themeColor="text1"/>
          <w:lang w:eastAsia="cs-CZ"/>
        </w:rPr>
        <w:t xml:space="preserve"> mělo vyrůst přes sto nových</w:t>
      </w:r>
      <w:r w:rsidR="00BF14CC" w:rsidRPr="003B44ED">
        <w:rPr>
          <w:rFonts w:ascii="Arial" w:hAnsi="Arial" w:cs="Arial"/>
          <w:color w:val="000000" w:themeColor="text1"/>
          <w:lang w:eastAsia="cs-CZ"/>
        </w:rPr>
        <w:t xml:space="preserve"> cenově dostupných</w:t>
      </w:r>
      <w:r w:rsidRPr="003B44ED">
        <w:rPr>
          <w:rFonts w:ascii="Arial" w:hAnsi="Arial" w:cs="Arial"/>
          <w:color w:val="000000" w:themeColor="text1"/>
          <w:lang w:eastAsia="cs-CZ"/>
        </w:rPr>
        <w:t xml:space="preserve"> bytů. </w:t>
      </w:r>
      <w:r w:rsidR="003B44ED" w:rsidRPr="003B44ED">
        <w:rPr>
          <w:rFonts w:ascii="Arial" w:hAnsi="Arial" w:cs="Arial"/>
          <w:color w:val="000000" w:themeColor="text1"/>
          <w:lang w:eastAsia="cs-CZ"/>
        </w:rPr>
        <w:t>Druhá letošní akvizice pro zhruba padesátku nových bytů a komerční prostory se nachází v lokalitě Velká ohrada ve Stodůlkách.</w:t>
      </w:r>
    </w:p>
    <w:p w:rsidR="00DF09F9" w:rsidRPr="002C213A" w:rsidRDefault="00DF09F9" w:rsidP="00FF22D6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DF09F9" w:rsidRDefault="00DF09F9" w:rsidP="00DF09F9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AB1FC1">
        <w:rPr>
          <w:rFonts w:ascii="Arial" w:hAnsi="Arial" w:cs="Arial"/>
          <w:b/>
          <w:sz w:val="24"/>
          <w:szCs w:val="24"/>
          <w:lang w:eastAsia="cs-CZ"/>
        </w:rPr>
        <w:t xml:space="preserve">Javorová </w:t>
      </w:r>
      <w:r>
        <w:rPr>
          <w:rFonts w:ascii="Arial" w:hAnsi="Arial" w:cs="Arial"/>
          <w:b/>
          <w:sz w:val="24"/>
          <w:szCs w:val="24"/>
          <w:lang w:eastAsia="cs-CZ"/>
        </w:rPr>
        <w:t>čtvrť: Pražská rezidenční revoluce</w:t>
      </w:r>
    </w:p>
    <w:p w:rsidR="00DF09F9" w:rsidRPr="00AB1FC1" w:rsidRDefault="00DF09F9" w:rsidP="00DF09F9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DF09F9" w:rsidRDefault="00DF09F9" w:rsidP="00DF09F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Lokalita Javorová čtvrť společnosti CENTRAL GROUP se</w:t>
      </w:r>
      <w:r w:rsidR="00167393">
        <w:rPr>
          <w:rFonts w:ascii="Arial" w:hAnsi="Arial" w:cs="Arial"/>
          <w:lang w:eastAsia="cs-CZ"/>
        </w:rPr>
        <w:t xml:space="preserve"> ihned po</w:t>
      </w:r>
      <w:r>
        <w:rPr>
          <w:rFonts w:ascii="Arial" w:hAnsi="Arial" w:cs="Arial"/>
          <w:lang w:eastAsia="cs-CZ"/>
        </w:rPr>
        <w:t xml:space="preserve"> uvedení do nabídky v závěru roku 2012 stala doslova hitem mezi pražskými developerskými projekty</w:t>
      </w:r>
      <w:r w:rsidR="003B44ED">
        <w:rPr>
          <w:rFonts w:ascii="Arial" w:hAnsi="Arial" w:cs="Arial"/>
          <w:lang w:eastAsia="cs-CZ"/>
        </w:rPr>
        <w:t>, zejména d</w:t>
      </w:r>
      <w:r>
        <w:rPr>
          <w:rFonts w:ascii="Arial" w:hAnsi="Arial" w:cs="Arial"/>
          <w:lang w:eastAsia="cs-CZ"/>
        </w:rPr>
        <w:t>íky revolučním cenám</w:t>
      </w:r>
      <w:r w:rsidR="00BF14CC">
        <w:rPr>
          <w:rFonts w:ascii="Arial" w:hAnsi="Arial" w:cs="Arial"/>
          <w:lang w:eastAsia="cs-CZ"/>
        </w:rPr>
        <w:t xml:space="preserve"> začínajícím</w:t>
      </w:r>
      <w:r>
        <w:rPr>
          <w:rFonts w:ascii="Arial" w:hAnsi="Arial" w:cs="Arial"/>
          <w:lang w:eastAsia="cs-CZ"/>
        </w:rPr>
        <w:t xml:space="preserve"> dokonce pod hranicí 1 milionu korun včetně DPH</w:t>
      </w:r>
      <w:r w:rsidR="003B44ED">
        <w:rPr>
          <w:rFonts w:ascii="Arial" w:hAnsi="Arial" w:cs="Arial"/>
          <w:lang w:eastAsia="cs-CZ"/>
        </w:rPr>
        <w:t xml:space="preserve">. </w:t>
      </w:r>
      <w:r w:rsidR="003B44ED" w:rsidRPr="003B44ED">
        <w:rPr>
          <w:rFonts w:ascii="Arial" w:hAnsi="Arial" w:cs="Arial"/>
          <w:lang w:eastAsia="cs-CZ"/>
        </w:rPr>
        <w:t xml:space="preserve">Není tedy divu, že </w:t>
      </w:r>
      <w:r w:rsidR="003B44ED">
        <w:rPr>
          <w:rFonts w:ascii="Arial" w:hAnsi="Arial" w:cs="Arial"/>
          <w:lang w:eastAsia="cs-CZ"/>
        </w:rPr>
        <w:t xml:space="preserve">zde </w:t>
      </w:r>
      <w:r w:rsidR="003B44ED" w:rsidRPr="003B44ED">
        <w:rPr>
          <w:rFonts w:ascii="Arial" w:hAnsi="Arial" w:cs="Arial"/>
          <w:lang w:eastAsia="cs-CZ"/>
        </w:rPr>
        <w:t xml:space="preserve">CENTRAL GROUP </w:t>
      </w:r>
      <w:r w:rsidR="000D7558">
        <w:rPr>
          <w:rFonts w:ascii="Arial" w:hAnsi="Arial" w:cs="Arial"/>
          <w:lang w:eastAsia="cs-CZ"/>
        </w:rPr>
        <w:t xml:space="preserve">stále přikupuje </w:t>
      </w:r>
      <w:r w:rsidR="003B44ED">
        <w:rPr>
          <w:rFonts w:ascii="Arial" w:hAnsi="Arial" w:cs="Arial"/>
          <w:lang w:eastAsia="cs-CZ"/>
        </w:rPr>
        <w:t xml:space="preserve">další pozemky pro nové </w:t>
      </w:r>
      <w:r w:rsidR="003B44ED" w:rsidRPr="003B44ED">
        <w:rPr>
          <w:rFonts w:ascii="Arial" w:hAnsi="Arial" w:cs="Arial"/>
          <w:lang w:eastAsia="cs-CZ"/>
        </w:rPr>
        <w:t>etapy.</w:t>
      </w:r>
      <w:r w:rsidR="00167393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 </w:t>
      </w:r>
    </w:p>
    <w:p w:rsidR="00DF09F9" w:rsidRPr="002C213A" w:rsidRDefault="00DF09F9" w:rsidP="00DF09F9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DF09F9" w:rsidRDefault="00167EA3" w:rsidP="00DF09F9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67393">
        <w:rPr>
          <w:rFonts w:ascii="Arial" w:hAnsi="Arial" w:cs="Arial"/>
          <w:i/>
          <w:lang w:eastAsia="cs-CZ"/>
        </w:rPr>
        <w:t>„</w:t>
      </w:r>
      <w:r w:rsidR="00DF09F9" w:rsidRPr="00167393">
        <w:rPr>
          <w:rFonts w:ascii="Arial" w:hAnsi="Arial" w:cs="Arial"/>
          <w:i/>
          <w:lang w:eastAsia="cs-CZ"/>
        </w:rPr>
        <w:t xml:space="preserve">Za </w:t>
      </w:r>
      <w:r w:rsidR="00167393" w:rsidRPr="00167393">
        <w:rPr>
          <w:rFonts w:ascii="Arial" w:hAnsi="Arial" w:cs="Arial"/>
          <w:i/>
          <w:lang w:eastAsia="cs-CZ"/>
        </w:rPr>
        <w:t xml:space="preserve">necelých </w:t>
      </w:r>
      <w:r w:rsidR="00DF09F9" w:rsidRPr="00167393">
        <w:rPr>
          <w:rFonts w:ascii="Arial" w:hAnsi="Arial" w:cs="Arial"/>
          <w:i/>
          <w:lang w:eastAsia="cs-CZ"/>
        </w:rPr>
        <w:t>dva a půl roku od zahájení prodeje první etapy jsme v Horních Měcholupech prodali již přes 710 bytů. To je jednoznačně nejvíce, kolik kdy jakákoli firma za tak krátké období na jednom místě prodala</w:t>
      </w:r>
      <w:r w:rsidR="00BF14CC">
        <w:rPr>
          <w:rFonts w:ascii="Arial" w:hAnsi="Arial" w:cs="Arial"/>
          <w:i/>
          <w:lang w:eastAsia="cs-CZ"/>
        </w:rPr>
        <w:t xml:space="preserve">. </w:t>
      </w:r>
      <w:r w:rsidR="00167393" w:rsidRPr="00167393">
        <w:rPr>
          <w:rFonts w:ascii="Arial" w:hAnsi="Arial" w:cs="Arial"/>
          <w:i/>
          <w:lang w:eastAsia="cs-CZ"/>
        </w:rPr>
        <w:t xml:space="preserve">Javorová čtvrť se díky tomu stala prodejně nejúspěšnější bytovou lokalitou </w:t>
      </w:r>
      <w:r w:rsidR="000D7558">
        <w:rPr>
          <w:rFonts w:ascii="Arial" w:hAnsi="Arial" w:cs="Arial"/>
          <w:i/>
          <w:lang w:eastAsia="cs-CZ"/>
        </w:rPr>
        <w:t xml:space="preserve">novodobé </w:t>
      </w:r>
      <w:r w:rsidR="00167393" w:rsidRPr="00167393">
        <w:rPr>
          <w:rFonts w:ascii="Arial" w:hAnsi="Arial" w:cs="Arial"/>
          <w:i/>
          <w:lang w:eastAsia="cs-CZ"/>
        </w:rPr>
        <w:t>české historie,“</w:t>
      </w:r>
      <w:r w:rsidR="00167393">
        <w:rPr>
          <w:rFonts w:ascii="Arial" w:hAnsi="Arial" w:cs="Arial"/>
          <w:lang w:eastAsia="cs-CZ"/>
        </w:rPr>
        <w:t xml:space="preserve"> zdůrazňuje Dušan Kunovský, šéf CENTRAL GROUP.</w:t>
      </w:r>
    </w:p>
    <w:p w:rsidR="00167393" w:rsidRPr="002C213A" w:rsidRDefault="00167393" w:rsidP="00DF09F9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167393" w:rsidRDefault="00167393" w:rsidP="00DF09F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Aktuálně je v prodeji již třetí a zatím poslední etapa, která nabízí celkem 375 bytů s termínem dokončení na konci letošního roku. Předcházející dvě etapy s celkovým počtem 568 bytů jsou již dokončeny a z více než 90 % vyprodány.</w:t>
      </w:r>
      <w:r w:rsidR="00BF14CC">
        <w:rPr>
          <w:rFonts w:ascii="Arial" w:hAnsi="Arial" w:cs="Arial"/>
          <w:lang w:eastAsia="cs-CZ"/>
        </w:rPr>
        <w:t xml:space="preserve"> </w:t>
      </w:r>
    </w:p>
    <w:p w:rsidR="003B44ED" w:rsidRPr="002C213A" w:rsidRDefault="003B44ED" w:rsidP="00DF09F9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B44ED" w:rsidRPr="00DF09F9" w:rsidRDefault="003B44ED" w:rsidP="00DF09F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Obd</w:t>
      </w:r>
      <w:r w:rsidR="002C213A">
        <w:rPr>
          <w:rFonts w:ascii="Arial" w:hAnsi="Arial" w:cs="Arial"/>
          <w:lang w:eastAsia="cs-CZ"/>
        </w:rPr>
        <w:t>obně má CENTRAL GROUP historicky</w:t>
      </w:r>
      <w:r>
        <w:rPr>
          <w:rFonts w:ascii="Arial" w:hAnsi="Arial" w:cs="Arial"/>
          <w:lang w:eastAsia="cs-CZ"/>
        </w:rPr>
        <w:t xml:space="preserve"> </w:t>
      </w:r>
      <w:r w:rsidR="002C213A">
        <w:rPr>
          <w:rFonts w:ascii="Arial" w:hAnsi="Arial" w:cs="Arial"/>
          <w:lang w:eastAsia="cs-CZ"/>
        </w:rPr>
        <w:t>dobré zkušenosti s lokalitou pražských Stodůlek, kde postupně dokončil téměř 1200 bytů v </w:t>
      </w:r>
      <w:r w:rsidR="000D7558">
        <w:rPr>
          <w:rFonts w:ascii="Arial" w:hAnsi="Arial" w:cs="Arial"/>
          <w:lang w:eastAsia="cs-CZ"/>
        </w:rPr>
        <w:t>projekte</w:t>
      </w:r>
      <w:r w:rsidR="002C213A">
        <w:rPr>
          <w:rFonts w:ascii="Arial" w:hAnsi="Arial" w:cs="Arial"/>
          <w:lang w:eastAsia="cs-CZ"/>
        </w:rPr>
        <w:t xml:space="preserve">ch Prague </w:t>
      </w:r>
      <w:proofErr w:type="spellStart"/>
      <w:r w:rsidR="002C213A">
        <w:rPr>
          <w:rFonts w:ascii="Arial" w:hAnsi="Arial" w:cs="Arial"/>
          <w:lang w:eastAsia="cs-CZ"/>
        </w:rPr>
        <w:t>Towers</w:t>
      </w:r>
      <w:proofErr w:type="spellEnd"/>
      <w:r w:rsidR="002C213A">
        <w:rPr>
          <w:rFonts w:ascii="Arial" w:hAnsi="Arial" w:cs="Arial"/>
          <w:lang w:eastAsia="cs-CZ"/>
        </w:rPr>
        <w:t>, Nové Stodůlky, Dalejský park, Nad Údolím a Klausova. Všechny byty ve všech těchto projektech jsou již vyprodány.</w:t>
      </w:r>
    </w:p>
    <w:p w:rsidR="002C213A" w:rsidRPr="002C213A" w:rsidRDefault="002C213A" w:rsidP="002A355F">
      <w:pPr>
        <w:spacing w:after="0"/>
        <w:contextualSpacing/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:rsidR="00DF09F9" w:rsidRPr="00BF14CC" w:rsidRDefault="002C213A" w:rsidP="002A355F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BF14CC">
        <w:rPr>
          <w:rFonts w:ascii="Arial" w:hAnsi="Arial" w:cs="Arial"/>
          <w:i/>
          <w:lang w:eastAsia="cs-CZ"/>
        </w:rPr>
        <w:t xml:space="preserve"> </w:t>
      </w:r>
      <w:r w:rsidR="00DF09F9" w:rsidRPr="00BF14CC">
        <w:rPr>
          <w:rFonts w:ascii="Arial" w:hAnsi="Arial" w:cs="Arial"/>
          <w:i/>
          <w:lang w:eastAsia="cs-CZ"/>
        </w:rPr>
        <w:t>„Kromě dobr</w:t>
      </w:r>
      <w:r w:rsidR="000D7558">
        <w:rPr>
          <w:rFonts w:ascii="Arial" w:hAnsi="Arial" w:cs="Arial"/>
          <w:i/>
          <w:lang w:eastAsia="cs-CZ"/>
        </w:rPr>
        <w:t>ých a zavedených</w:t>
      </w:r>
      <w:r w:rsidR="00DF09F9" w:rsidRPr="00BF14CC">
        <w:rPr>
          <w:rFonts w:ascii="Arial" w:hAnsi="Arial" w:cs="Arial"/>
          <w:i/>
          <w:lang w:eastAsia="cs-CZ"/>
        </w:rPr>
        <w:t xml:space="preserve"> lokali</w:t>
      </w:r>
      <w:r w:rsidR="000D7558">
        <w:rPr>
          <w:rFonts w:ascii="Arial" w:hAnsi="Arial" w:cs="Arial"/>
          <w:i/>
          <w:lang w:eastAsia="cs-CZ"/>
        </w:rPr>
        <w:t>t</w:t>
      </w:r>
      <w:r w:rsidR="00DF09F9" w:rsidRPr="00BF14CC">
        <w:rPr>
          <w:rFonts w:ascii="Arial" w:hAnsi="Arial" w:cs="Arial"/>
          <w:i/>
          <w:lang w:eastAsia="cs-CZ"/>
        </w:rPr>
        <w:t xml:space="preserve"> s</w:t>
      </w:r>
      <w:r w:rsidR="000D7558">
        <w:rPr>
          <w:rFonts w:ascii="Arial" w:hAnsi="Arial" w:cs="Arial"/>
          <w:i/>
          <w:lang w:eastAsia="cs-CZ"/>
        </w:rPr>
        <w:t xml:space="preserve"> velmi příznivými </w:t>
      </w:r>
      <w:r w:rsidR="00DF09F9" w:rsidRPr="00BF14CC">
        <w:rPr>
          <w:rFonts w:ascii="Arial" w:hAnsi="Arial" w:cs="Arial"/>
          <w:i/>
          <w:lang w:eastAsia="cs-CZ"/>
        </w:rPr>
        <w:t>cenami j</w:t>
      </w:r>
      <w:r w:rsidR="00BF14CC">
        <w:rPr>
          <w:rFonts w:ascii="Arial" w:hAnsi="Arial" w:cs="Arial"/>
          <w:i/>
          <w:lang w:eastAsia="cs-CZ"/>
        </w:rPr>
        <w:t>sou</w:t>
      </w:r>
      <w:r w:rsidR="00DF09F9" w:rsidRPr="00BF14CC">
        <w:rPr>
          <w:rFonts w:ascii="Arial" w:hAnsi="Arial" w:cs="Arial"/>
          <w:i/>
          <w:lang w:eastAsia="cs-CZ"/>
        </w:rPr>
        <w:t xml:space="preserve"> pro úspěch prodeje klíčov</w:t>
      </w:r>
      <w:r w:rsidR="00BF14CC">
        <w:rPr>
          <w:rFonts w:ascii="Arial" w:hAnsi="Arial" w:cs="Arial"/>
          <w:i/>
          <w:lang w:eastAsia="cs-CZ"/>
        </w:rPr>
        <w:t xml:space="preserve">é i </w:t>
      </w:r>
      <w:r w:rsidR="000D7558">
        <w:rPr>
          <w:rFonts w:ascii="Arial" w:hAnsi="Arial" w:cs="Arial"/>
          <w:i/>
          <w:lang w:eastAsia="cs-CZ"/>
        </w:rPr>
        <w:t xml:space="preserve">současné </w:t>
      </w:r>
      <w:r w:rsidR="00BF14CC">
        <w:rPr>
          <w:rFonts w:ascii="Arial" w:hAnsi="Arial" w:cs="Arial"/>
          <w:i/>
          <w:lang w:eastAsia="cs-CZ"/>
        </w:rPr>
        <w:t xml:space="preserve">historicky nejvýhodnější podmínky </w:t>
      </w:r>
      <w:r w:rsidR="00167393" w:rsidRPr="00BF14CC">
        <w:rPr>
          <w:rFonts w:ascii="Arial" w:hAnsi="Arial" w:cs="Arial"/>
          <w:i/>
          <w:lang w:eastAsia="cs-CZ"/>
        </w:rPr>
        <w:t xml:space="preserve">financování. Díky bezkonkurenční Hypotéce CENTRAL GROUP s garantovanou úrokovou sazbou jen 1,99 % ročně, kterou lze financovat až 90 % kupní ceny nemovitosti, </w:t>
      </w:r>
      <w:r w:rsidR="00BF14CC" w:rsidRPr="00BF14CC">
        <w:rPr>
          <w:rFonts w:ascii="Arial" w:hAnsi="Arial" w:cs="Arial"/>
          <w:i/>
          <w:lang w:eastAsia="cs-CZ"/>
        </w:rPr>
        <w:t>si kvalitní nové bydlení mohou zájemci dovolit již za 5.300 Kč měsíčně</w:t>
      </w:r>
      <w:r w:rsidR="000D7558">
        <w:rPr>
          <w:rFonts w:ascii="Arial" w:hAnsi="Arial" w:cs="Arial"/>
          <w:i/>
          <w:lang w:eastAsia="cs-CZ"/>
        </w:rPr>
        <w:t>. Koupě vlastního bytu je tak nyní jednoznačně výhodnější než bydlení v nájmu a kupující si to dokáží spočítat</w:t>
      </w:r>
      <w:r w:rsidR="00DF09F9" w:rsidRPr="00BF14CC">
        <w:rPr>
          <w:rFonts w:ascii="Arial" w:hAnsi="Arial" w:cs="Arial"/>
          <w:i/>
          <w:lang w:eastAsia="cs-CZ"/>
        </w:rPr>
        <w:t>,“</w:t>
      </w:r>
      <w:r w:rsidR="00DF09F9" w:rsidRPr="00DF09F9">
        <w:rPr>
          <w:rFonts w:ascii="Arial" w:hAnsi="Arial" w:cs="Arial"/>
          <w:lang w:eastAsia="cs-CZ"/>
        </w:rPr>
        <w:t xml:space="preserve"> </w:t>
      </w:r>
      <w:r w:rsidR="00BF14CC">
        <w:rPr>
          <w:rFonts w:ascii="Arial" w:hAnsi="Arial" w:cs="Arial"/>
          <w:lang w:eastAsia="cs-CZ"/>
        </w:rPr>
        <w:t>uzavírá</w:t>
      </w:r>
      <w:r w:rsidR="00DF09F9" w:rsidRPr="00DF09F9">
        <w:rPr>
          <w:rFonts w:ascii="Arial" w:hAnsi="Arial" w:cs="Arial"/>
          <w:lang w:eastAsia="cs-CZ"/>
        </w:rPr>
        <w:t xml:space="preserve"> </w:t>
      </w:r>
      <w:r w:rsidR="00BF14CC">
        <w:rPr>
          <w:rFonts w:ascii="Arial" w:hAnsi="Arial" w:cs="Arial"/>
          <w:lang w:eastAsia="cs-CZ"/>
        </w:rPr>
        <w:t xml:space="preserve">Dušan </w:t>
      </w:r>
      <w:r w:rsidR="00DF09F9" w:rsidRPr="00DF09F9">
        <w:rPr>
          <w:rFonts w:ascii="Arial" w:hAnsi="Arial" w:cs="Arial"/>
          <w:lang w:eastAsia="cs-CZ"/>
        </w:rPr>
        <w:t>Kunovský</w:t>
      </w:r>
      <w:r w:rsidR="00BF14CC">
        <w:rPr>
          <w:rFonts w:ascii="Arial" w:hAnsi="Arial" w:cs="Arial"/>
          <w:lang w:eastAsia="cs-CZ"/>
        </w:rPr>
        <w:t xml:space="preserve">. </w:t>
      </w:r>
      <w:bookmarkStart w:id="0" w:name="_GoBack"/>
      <w:bookmarkEnd w:id="0"/>
    </w:p>
    <w:p w:rsidR="00DF09F9" w:rsidRDefault="00DF09F9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0D755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24764"/>
    <w:rsid w:val="000267C4"/>
    <w:rsid w:val="0002687F"/>
    <w:rsid w:val="0003162C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853"/>
    <w:rsid w:val="000C61A9"/>
    <w:rsid w:val="000D2CE8"/>
    <w:rsid w:val="000D6F5E"/>
    <w:rsid w:val="000D7558"/>
    <w:rsid w:val="000F76D9"/>
    <w:rsid w:val="00136B59"/>
    <w:rsid w:val="0014189D"/>
    <w:rsid w:val="00147D32"/>
    <w:rsid w:val="00160996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D7759"/>
    <w:rsid w:val="001E5C33"/>
    <w:rsid w:val="001F5AAF"/>
    <w:rsid w:val="001F5F25"/>
    <w:rsid w:val="001F75D0"/>
    <w:rsid w:val="002024C8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213A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6A88"/>
    <w:rsid w:val="00354906"/>
    <w:rsid w:val="00364E18"/>
    <w:rsid w:val="0038164F"/>
    <w:rsid w:val="00390D9B"/>
    <w:rsid w:val="003973E3"/>
    <w:rsid w:val="003975FB"/>
    <w:rsid w:val="003A4846"/>
    <w:rsid w:val="003B20BE"/>
    <w:rsid w:val="003B44ED"/>
    <w:rsid w:val="003C4264"/>
    <w:rsid w:val="003E25B5"/>
    <w:rsid w:val="003E3EEE"/>
    <w:rsid w:val="003E4FDA"/>
    <w:rsid w:val="003F4A3F"/>
    <w:rsid w:val="004065D6"/>
    <w:rsid w:val="00407D1B"/>
    <w:rsid w:val="0041092C"/>
    <w:rsid w:val="00416096"/>
    <w:rsid w:val="0042143D"/>
    <w:rsid w:val="00423B06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82D61"/>
    <w:rsid w:val="005A33B1"/>
    <w:rsid w:val="005A6A33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31B3"/>
    <w:rsid w:val="006362FC"/>
    <w:rsid w:val="006474BF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42D0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712EF"/>
    <w:rsid w:val="00A742F4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F2749"/>
    <w:rsid w:val="00AF7E13"/>
    <w:rsid w:val="00B00ADD"/>
    <w:rsid w:val="00B00B91"/>
    <w:rsid w:val="00B15BD1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14CC"/>
    <w:rsid w:val="00BF658E"/>
    <w:rsid w:val="00C1171C"/>
    <w:rsid w:val="00C311B7"/>
    <w:rsid w:val="00C3154B"/>
    <w:rsid w:val="00C32128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A4B80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2266B"/>
    <w:rsid w:val="00D24422"/>
    <w:rsid w:val="00D302F0"/>
    <w:rsid w:val="00D3268D"/>
    <w:rsid w:val="00D43126"/>
    <w:rsid w:val="00D435EE"/>
    <w:rsid w:val="00D45D3D"/>
    <w:rsid w:val="00D63698"/>
    <w:rsid w:val="00D64C48"/>
    <w:rsid w:val="00D6582D"/>
    <w:rsid w:val="00D763B7"/>
    <w:rsid w:val="00D77055"/>
    <w:rsid w:val="00D77345"/>
    <w:rsid w:val="00D8202F"/>
    <w:rsid w:val="00D92EE4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23C2"/>
    <w:rsid w:val="00FD40F0"/>
    <w:rsid w:val="00FD52E9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63B4-D7EF-4E4F-BB8F-84AD3B5F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7A2D-07BF-4D1C-962D-BD303C9E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14</cp:revision>
  <cp:lastPrinted>2015-02-11T16:14:00Z</cp:lastPrinted>
  <dcterms:created xsi:type="dcterms:W3CDTF">2015-02-02T08:25:00Z</dcterms:created>
  <dcterms:modified xsi:type="dcterms:W3CDTF">2015-02-12T10:38:00Z</dcterms:modified>
</cp:coreProperties>
</file>