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A1" w:rsidRPr="00B569EB" w:rsidRDefault="00470FA1" w:rsidP="001E1EF3">
      <w:pPr>
        <w:rPr>
          <w:rFonts w:ascii="Arial Black" w:hAnsi="Arial Black" w:cs="Arial"/>
          <w:b/>
          <w:sz w:val="32"/>
          <w:szCs w:val="32"/>
        </w:rPr>
      </w:pPr>
      <w:r w:rsidRPr="00B569EB">
        <w:rPr>
          <w:rFonts w:ascii="Arial Black" w:hAnsi="Arial Black" w:cs="Arial"/>
          <w:b/>
          <w:sz w:val="32"/>
          <w:szCs w:val="32"/>
        </w:rPr>
        <w:t xml:space="preserve">V Praze </w:t>
      </w:r>
      <w:r w:rsidR="001E1EF3" w:rsidRPr="00B569EB">
        <w:rPr>
          <w:rFonts w:ascii="Arial Black" w:hAnsi="Arial Black" w:cs="Arial"/>
          <w:b/>
          <w:sz w:val="32"/>
          <w:szCs w:val="32"/>
        </w:rPr>
        <w:t xml:space="preserve">může </w:t>
      </w:r>
      <w:r w:rsidRPr="00B569EB">
        <w:rPr>
          <w:rFonts w:ascii="Arial Black" w:hAnsi="Arial Black" w:cs="Arial"/>
          <w:b/>
          <w:sz w:val="32"/>
          <w:szCs w:val="32"/>
        </w:rPr>
        <w:t>v roce 2030 chybět</w:t>
      </w:r>
      <w:r w:rsidR="00834FDE" w:rsidRPr="00B569EB">
        <w:rPr>
          <w:rFonts w:ascii="Arial Black" w:hAnsi="Arial Black" w:cs="Arial"/>
          <w:b/>
          <w:sz w:val="32"/>
          <w:szCs w:val="32"/>
        </w:rPr>
        <w:t xml:space="preserve"> </w:t>
      </w:r>
      <w:r w:rsidRPr="00B569EB">
        <w:rPr>
          <w:rFonts w:ascii="Arial Black" w:hAnsi="Arial Black" w:cs="Arial"/>
          <w:b/>
          <w:sz w:val="32"/>
          <w:szCs w:val="32"/>
        </w:rPr>
        <w:t>100 tisíc bytů,</w:t>
      </w:r>
      <w:r w:rsidR="001E1EF3" w:rsidRPr="00B569EB">
        <w:rPr>
          <w:rFonts w:ascii="Arial Black" w:hAnsi="Arial Black" w:cs="Arial"/>
          <w:b/>
          <w:sz w:val="32"/>
          <w:szCs w:val="32"/>
        </w:rPr>
        <w:t xml:space="preserve"> </w:t>
      </w:r>
      <w:r w:rsidRPr="00B569EB">
        <w:rPr>
          <w:rFonts w:ascii="Arial Black" w:hAnsi="Arial Black" w:cs="Arial"/>
          <w:b/>
          <w:sz w:val="32"/>
          <w:szCs w:val="32"/>
        </w:rPr>
        <w:t xml:space="preserve">bydlení nebude </w:t>
      </w:r>
      <w:r w:rsidR="008966D2" w:rsidRPr="00B569EB">
        <w:rPr>
          <w:rFonts w:ascii="Arial Black" w:hAnsi="Arial Black" w:cs="Arial"/>
          <w:b/>
          <w:sz w:val="32"/>
          <w:szCs w:val="32"/>
        </w:rPr>
        <w:t>pro</w:t>
      </w:r>
      <w:r w:rsidRPr="00B569EB">
        <w:rPr>
          <w:rFonts w:ascii="Arial Black" w:hAnsi="Arial Black" w:cs="Arial"/>
          <w:b/>
          <w:sz w:val="32"/>
          <w:szCs w:val="32"/>
        </w:rPr>
        <w:t xml:space="preserve"> 200 tisíc lidí</w:t>
      </w:r>
    </w:p>
    <w:p w:rsidR="003B5528" w:rsidRPr="001069E5" w:rsidRDefault="003B5528" w:rsidP="001E1EF3">
      <w:pPr>
        <w:spacing w:after="0"/>
        <w:rPr>
          <w:rFonts w:ascii="Arial Black" w:hAnsi="Arial Black"/>
          <w:color w:val="000000" w:themeColor="text1"/>
          <w:sz w:val="32"/>
          <w:szCs w:val="32"/>
        </w:rPr>
      </w:pPr>
    </w:p>
    <w:p w:rsidR="00E52C8A" w:rsidRDefault="005C224E" w:rsidP="001E1EF3">
      <w:pPr>
        <w:spacing w:after="0"/>
        <w:contextualSpacing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i/>
          <w:lang w:eastAsia="cs-CZ"/>
        </w:rPr>
        <w:t xml:space="preserve">Praha, </w:t>
      </w:r>
      <w:r w:rsidR="00470FA1">
        <w:rPr>
          <w:rFonts w:ascii="Arial" w:hAnsi="Arial" w:cs="Arial"/>
          <w:i/>
          <w:lang w:eastAsia="cs-CZ"/>
        </w:rPr>
        <w:t>7</w:t>
      </w:r>
      <w:r w:rsidR="003B5528">
        <w:rPr>
          <w:rFonts w:ascii="Arial" w:hAnsi="Arial" w:cs="Arial"/>
          <w:i/>
          <w:lang w:eastAsia="cs-CZ"/>
        </w:rPr>
        <w:t>.</w:t>
      </w:r>
      <w:r w:rsidR="003B5528" w:rsidRPr="007143C3">
        <w:rPr>
          <w:rFonts w:ascii="Arial" w:hAnsi="Arial" w:cs="Arial"/>
          <w:i/>
          <w:lang w:eastAsia="cs-CZ"/>
        </w:rPr>
        <w:t xml:space="preserve"> </w:t>
      </w:r>
      <w:r>
        <w:rPr>
          <w:rFonts w:ascii="Arial" w:hAnsi="Arial" w:cs="Arial"/>
          <w:i/>
          <w:lang w:eastAsia="cs-CZ"/>
        </w:rPr>
        <w:t>2</w:t>
      </w:r>
      <w:r w:rsidR="003B5528" w:rsidRPr="007143C3">
        <w:rPr>
          <w:rFonts w:ascii="Arial" w:hAnsi="Arial" w:cs="Arial"/>
          <w:i/>
          <w:lang w:eastAsia="cs-CZ"/>
        </w:rPr>
        <w:t>. 201</w:t>
      </w:r>
      <w:r w:rsidR="003B5528">
        <w:rPr>
          <w:rFonts w:ascii="Arial" w:hAnsi="Arial" w:cs="Arial"/>
          <w:i/>
          <w:lang w:eastAsia="cs-CZ"/>
        </w:rPr>
        <w:t>9</w:t>
      </w:r>
      <w:r w:rsidR="003B5528" w:rsidRPr="007143C3">
        <w:rPr>
          <w:rFonts w:ascii="Arial" w:hAnsi="Arial" w:cs="Arial"/>
          <w:i/>
          <w:lang w:eastAsia="cs-CZ"/>
        </w:rPr>
        <w:t xml:space="preserve"> –</w:t>
      </w:r>
      <w:r w:rsidR="00E52C8A">
        <w:rPr>
          <w:rFonts w:ascii="Arial" w:hAnsi="Arial" w:cs="Arial"/>
          <w:i/>
          <w:lang w:eastAsia="cs-CZ"/>
        </w:rPr>
        <w:t xml:space="preserve"> </w:t>
      </w:r>
      <w:r w:rsidR="00E52C8A">
        <w:rPr>
          <w:rFonts w:ascii="Arial" w:hAnsi="Arial" w:cs="Arial"/>
          <w:b/>
          <w:lang w:eastAsia="cs-CZ"/>
        </w:rPr>
        <w:t xml:space="preserve">V Praze aktuálně chybí </w:t>
      </w:r>
      <w:r w:rsidR="006B39CF">
        <w:rPr>
          <w:rFonts w:ascii="Arial" w:hAnsi="Arial" w:cs="Arial"/>
          <w:b/>
          <w:lang w:eastAsia="cs-CZ"/>
        </w:rPr>
        <w:t xml:space="preserve">téměř 20 tisíc </w:t>
      </w:r>
      <w:r w:rsidR="00E52C8A">
        <w:rPr>
          <w:rFonts w:ascii="Arial" w:hAnsi="Arial" w:cs="Arial"/>
          <w:b/>
          <w:lang w:eastAsia="cs-CZ"/>
        </w:rPr>
        <w:t xml:space="preserve">bytů. Pokud se situace nezmění a deficit mezi nedostatečným množstvím povolených nových bytů a poptávkou po nich bude dále narůstat, </w:t>
      </w:r>
      <w:r w:rsidR="0062251C">
        <w:rPr>
          <w:rFonts w:ascii="Arial" w:hAnsi="Arial" w:cs="Arial"/>
          <w:b/>
          <w:lang w:eastAsia="cs-CZ"/>
        </w:rPr>
        <w:t xml:space="preserve">bude </w:t>
      </w:r>
      <w:r w:rsidR="00E52C8A">
        <w:rPr>
          <w:rFonts w:ascii="Arial" w:hAnsi="Arial" w:cs="Arial"/>
          <w:b/>
          <w:lang w:eastAsia="cs-CZ"/>
        </w:rPr>
        <w:t xml:space="preserve">v roce 2030 </w:t>
      </w:r>
      <w:r w:rsidR="006B39CF">
        <w:rPr>
          <w:rFonts w:ascii="Arial" w:hAnsi="Arial" w:cs="Arial"/>
          <w:b/>
          <w:lang w:eastAsia="cs-CZ"/>
        </w:rPr>
        <w:t xml:space="preserve">v hlavním městě </w:t>
      </w:r>
      <w:r w:rsidR="008966D2">
        <w:rPr>
          <w:rFonts w:ascii="Arial" w:hAnsi="Arial" w:cs="Arial"/>
          <w:b/>
          <w:lang w:eastAsia="cs-CZ"/>
        </w:rPr>
        <w:t>scházet</w:t>
      </w:r>
      <w:r w:rsidR="00E52C8A">
        <w:rPr>
          <w:rFonts w:ascii="Arial" w:hAnsi="Arial" w:cs="Arial"/>
          <w:b/>
          <w:lang w:eastAsia="cs-CZ"/>
        </w:rPr>
        <w:t xml:space="preserve"> až 100 tisíc bytů. Bydlení by tak </w:t>
      </w:r>
      <w:r w:rsidR="008966D2">
        <w:rPr>
          <w:rFonts w:ascii="Arial" w:hAnsi="Arial" w:cs="Arial"/>
          <w:b/>
          <w:lang w:eastAsia="cs-CZ"/>
        </w:rPr>
        <w:t>v Praze nenašlo</w:t>
      </w:r>
      <w:r w:rsidR="00E52C8A">
        <w:rPr>
          <w:rFonts w:ascii="Arial" w:hAnsi="Arial" w:cs="Arial"/>
          <w:b/>
          <w:lang w:eastAsia="cs-CZ"/>
        </w:rPr>
        <w:t xml:space="preserve"> </w:t>
      </w:r>
      <w:r w:rsidR="008966D2">
        <w:rPr>
          <w:rFonts w:ascii="Arial" w:hAnsi="Arial" w:cs="Arial"/>
          <w:b/>
          <w:lang w:eastAsia="cs-CZ"/>
        </w:rPr>
        <w:t xml:space="preserve">minimálně </w:t>
      </w:r>
      <w:r w:rsidR="00E52C8A">
        <w:rPr>
          <w:rFonts w:ascii="Arial" w:hAnsi="Arial" w:cs="Arial"/>
          <w:b/>
          <w:lang w:eastAsia="cs-CZ"/>
        </w:rPr>
        <w:t>200 tisíc lidí.</w:t>
      </w:r>
      <w:r w:rsidR="00C25D5F">
        <w:rPr>
          <w:rFonts w:ascii="Arial" w:hAnsi="Arial" w:cs="Arial"/>
          <w:b/>
          <w:lang w:eastAsia="cs-CZ"/>
        </w:rPr>
        <w:t xml:space="preserve"> Ti pak budou hledat možnosti jinde</w:t>
      </w:r>
      <w:r w:rsidR="007D7DA1">
        <w:rPr>
          <w:rFonts w:ascii="Arial" w:hAnsi="Arial" w:cs="Arial"/>
          <w:b/>
          <w:lang w:eastAsia="cs-CZ"/>
        </w:rPr>
        <w:t>.</w:t>
      </w:r>
      <w:r w:rsidR="00F131C9">
        <w:rPr>
          <w:rFonts w:ascii="Arial" w:hAnsi="Arial" w:cs="Arial"/>
          <w:b/>
          <w:lang w:eastAsia="cs-CZ"/>
        </w:rPr>
        <w:t xml:space="preserve"> </w:t>
      </w:r>
      <w:r w:rsidR="007D7DA1">
        <w:rPr>
          <w:rFonts w:ascii="Arial" w:hAnsi="Arial" w:cs="Arial"/>
          <w:b/>
          <w:lang w:eastAsia="cs-CZ"/>
        </w:rPr>
        <w:t>N</w:t>
      </w:r>
      <w:r w:rsidR="00C25D5F">
        <w:rPr>
          <w:rFonts w:ascii="Arial" w:hAnsi="Arial" w:cs="Arial"/>
          <w:b/>
          <w:lang w:eastAsia="cs-CZ"/>
        </w:rPr>
        <w:t>ejčastěji ve Středočeské</w:t>
      </w:r>
      <w:r w:rsidR="00F877E2">
        <w:rPr>
          <w:rFonts w:ascii="Arial" w:hAnsi="Arial" w:cs="Arial"/>
          <w:b/>
          <w:lang w:eastAsia="cs-CZ"/>
        </w:rPr>
        <w:t>m</w:t>
      </w:r>
      <w:r w:rsidR="00C25D5F">
        <w:rPr>
          <w:rFonts w:ascii="Arial" w:hAnsi="Arial" w:cs="Arial"/>
          <w:b/>
          <w:lang w:eastAsia="cs-CZ"/>
        </w:rPr>
        <w:t xml:space="preserve"> kraji a při dojíždění za prací do Prahy budou ještě více přetěžovat kolabující dopravní síť.</w:t>
      </w:r>
      <w:r w:rsidR="00E52C8A">
        <w:rPr>
          <w:rFonts w:ascii="Arial" w:hAnsi="Arial" w:cs="Arial"/>
          <w:b/>
          <w:lang w:eastAsia="cs-CZ"/>
        </w:rPr>
        <w:t xml:space="preserve"> Přitom </w:t>
      </w:r>
      <w:r w:rsidR="007D7DA1">
        <w:rPr>
          <w:rFonts w:ascii="Arial" w:hAnsi="Arial" w:cs="Arial"/>
          <w:b/>
          <w:lang w:eastAsia="cs-CZ"/>
        </w:rPr>
        <w:t>v</w:t>
      </w:r>
      <w:r w:rsidR="009C3CC7">
        <w:rPr>
          <w:rFonts w:ascii="Arial" w:hAnsi="Arial" w:cs="Arial"/>
          <w:b/>
          <w:lang w:eastAsia="cs-CZ"/>
        </w:rPr>
        <w:t> </w:t>
      </w:r>
      <w:r w:rsidR="007D7DA1">
        <w:rPr>
          <w:rFonts w:ascii="Arial" w:hAnsi="Arial" w:cs="Arial"/>
          <w:b/>
          <w:lang w:eastAsia="cs-CZ"/>
        </w:rPr>
        <w:t>podstatě</w:t>
      </w:r>
      <w:r w:rsidR="009C3CC7">
        <w:rPr>
          <w:rFonts w:ascii="Arial" w:hAnsi="Arial" w:cs="Arial"/>
          <w:b/>
          <w:lang w:eastAsia="cs-CZ"/>
        </w:rPr>
        <w:t xml:space="preserve"> stejný</w:t>
      </w:r>
      <w:r w:rsidR="00802D80">
        <w:rPr>
          <w:rFonts w:ascii="Arial" w:hAnsi="Arial" w:cs="Arial"/>
          <w:b/>
          <w:lang w:eastAsia="cs-CZ"/>
        </w:rPr>
        <w:t xml:space="preserve"> počet, tedy</w:t>
      </w:r>
      <w:r w:rsidR="00C25D5F">
        <w:rPr>
          <w:rFonts w:ascii="Arial" w:hAnsi="Arial" w:cs="Arial"/>
          <w:b/>
          <w:lang w:eastAsia="cs-CZ"/>
        </w:rPr>
        <w:t xml:space="preserve"> téměř</w:t>
      </w:r>
      <w:r w:rsidR="00802D80">
        <w:rPr>
          <w:rFonts w:ascii="Arial" w:hAnsi="Arial" w:cs="Arial"/>
          <w:b/>
          <w:lang w:eastAsia="cs-CZ"/>
        </w:rPr>
        <w:t xml:space="preserve"> </w:t>
      </w:r>
      <w:r w:rsidR="00E52C8A" w:rsidRPr="00C25D5F">
        <w:rPr>
          <w:rFonts w:ascii="Arial" w:hAnsi="Arial" w:cs="Arial"/>
          <w:b/>
          <w:lang w:eastAsia="cs-CZ"/>
        </w:rPr>
        <w:t>100</w:t>
      </w:r>
      <w:r w:rsidR="00E52C8A">
        <w:rPr>
          <w:rFonts w:ascii="Arial" w:hAnsi="Arial" w:cs="Arial"/>
          <w:b/>
          <w:lang w:eastAsia="cs-CZ"/>
        </w:rPr>
        <w:t xml:space="preserve"> tisíc bytů</w:t>
      </w:r>
      <w:r w:rsidR="00C25D5F">
        <w:rPr>
          <w:rFonts w:ascii="Arial" w:hAnsi="Arial" w:cs="Arial"/>
          <w:b/>
          <w:lang w:eastAsia="cs-CZ"/>
        </w:rPr>
        <w:t>,</w:t>
      </w:r>
      <w:r w:rsidR="00E52C8A">
        <w:rPr>
          <w:rFonts w:ascii="Arial" w:hAnsi="Arial" w:cs="Arial"/>
          <w:b/>
          <w:lang w:eastAsia="cs-CZ"/>
        </w:rPr>
        <w:t xml:space="preserve"> je zamrzlých v různých fázích přípravy a povolování. Vyplývá to z unikátní analýzy připravovaných projektů, kterou pravidelně zpracovává společnost Central Group. </w:t>
      </w:r>
    </w:p>
    <w:p w:rsidR="00E52C8A" w:rsidRDefault="00E52C8A" w:rsidP="001E1EF3">
      <w:pPr>
        <w:spacing w:after="0"/>
        <w:contextualSpacing/>
        <w:rPr>
          <w:rFonts w:ascii="Arial" w:hAnsi="Arial" w:cs="Arial"/>
          <w:b/>
          <w:lang w:eastAsia="cs-CZ"/>
        </w:rPr>
      </w:pPr>
    </w:p>
    <w:p w:rsidR="006B39CF" w:rsidRPr="006B39CF" w:rsidRDefault="001E1EF3" w:rsidP="001E1EF3">
      <w:pPr>
        <w:spacing w:after="0"/>
        <w:contextualSpacing/>
        <w:rPr>
          <w:rFonts w:ascii="Arial" w:hAnsi="Arial" w:cs="Arial"/>
          <w:lang w:eastAsia="cs-CZ"/>
        </w:rPr>
      </w:pPr>
      <w:r w:rsidRPr="008966D2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1C12AC">
            <wp:simplePos x="0" y="0"/>
            <wp:positionH relativeFrom="margin">
              <wp:align>left</wp:align>
            </wp:positionH>
            <wp:positionV relativeFrom="paragraph">
              <wp:posOffset>86397</wp:posOffset>
            </wp:positionV>
            <wp:extent cx="3141980" cy="1873885"/>
            <wp:effectExtent l="0" t="0" r="1270" b="0"/>
            <wp:wrapTight wrapText="bothSides">
              <wp:wrapPolygon edited="0">
                <wp:start x="0" y="0"/>
                <wp:lineTo x="0" y="21300"/>
                <wp:lineTo x="21478" y="21300"/>
                <wp:lineTo x="21478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DA1">
        <w:rPr>
          <w:rFonts w:ascii="Arial" w:hAnsi="Arial" w:cs="Arial"/>
          <w:lang w:eastAsia="cs-CZ"/>
        </w:rPr>
        <w:t>Konkrétně je v</w:t>
      </w:r>
      <w:r w:rsidR="000A25EA">
        <w:rPr>
          <w:rFonts w:ascii="Arial" w:hAnsi="Arial" w:cs="Arial"/>
          <w:lang w:eastAsia="cs-CZ"/>
        </w:rPr>
        <w:t> </w:t>
      </w:r>
      <w:r w:rsidR="007D7DA1">
        <w:rPr>
          <w:rFonts w:ascii="Arial" w:hAnsi="Arial" w:cs="Arial"/>
          <w:lang w:eastAsia="cs-CZ"/>
        </w:rPr>
        <w:t>přípravě</w:t>
      </w:r>
      <w:r w:rsidR="000A25EA">
        <w:rPr>
          <w:rFonts w:ascii="Arial" w:hAnsi="Arial" w:cs="Arial"/>
          <w:lang w:eastAsia="cs-CZ"/>
        </w:rPr>
        <w:t xml:space="preserve"> téměř 650</w:t>
      </w:r>
      <w:r w:rsidR="007D7DA1">
        <w:rPr>
          <w:rFonts w:ascii="Arial" w:hAnsi="Arial" w:cs="Arial"/>
          <w:lang w:eastAsia="cs-CZ"/>
        </w:rPr>
        <w:t xml:space="preserve"> projektů s 96 tisíci byt</w:t>
      </w:r>
      <w:r w:rsidR="008966D2">
        <w:rPr>
          <w:rFonts w:ascii="Arial" w:hAnsi="Arial" w:cs="Arial"/>
          <w:lang w:eastAsia="cs-CZ"/>
        </w:rPr>
        <w:t>y</w:t>
      </w:r>
      <w:r w:rsidR="007D7DA1">
        <w:rPr>
          <w:rFonts w:ascii="Arial" w:hAnsi="Arial" w:cs="Arial"/>
          <w:lang w:eastAsia="cs-CZ"/>
        </w:rPr>
        <w:t>, z nich</w:t>
      </w:r>
      <w:r w:rsidR="008966D2">
        <w:rPr>
          <w:rFonts w:ascii="Arial" w:hAnsi="Arial" w:cs="Arial"/>
          <w:lang w:eastAsia="cs-CZ"/>
        </w:rPr>
        <w:t>ž</w:t>
      </w:r>
      <w:r w:rsidR="007D7DA1">
        <w:rPr>
          <w:rFonts w:ascii="Arial" w:hAnsi="Arial" w:cs="Arial"/>
          <w:lang w:eastAsia="cs-CZ"/>
        </w:rPr>
        <w:t xml:space="preserve"> 47 tisíc již vstoupilo do některé z fází projednávání. </w:t>
      </w:r>
      <w:r w:rsidR="00325A33">
        <w:rPr>
          <w:rFonts w:ascii="Arial" w:hAnsi="Arial" w:cs="Arial"/>
          <w:lang w:eastAsia="cs-CZ"/>
        </w:rPr>
        <w:t>Nejvíce jich je na Praze 5, z</w:t>
      </w:r>
      <w:r w:rsidR="007D7DA1">
        <w:rPr>
          <w:rFonts w:ascii="Arial" w:hAnsi="Arial" w:cs="Arial"/>
          <w:lang w:eastAsia="cs-CZ"/>
        </w:rPr>
        <w:t xml:space="preserve"> těch, které jsou </w:t>
      </w:r>
      <w:r w:rsidR="00470B0F">
        <w:rPr>
          <w:rFonts w:ascii="Arial" w:hAnsi="Arial" w:cs="Arial"/>
          <w:lang w:eastAsia="cs-CZ"/>
        </w:rPr>
        <w:t>ve schvalovacím procesu</w:t>
      </w:r>
      <w:r w:rsidR="007D7DA1">
        <w:rPr>
          <w:rFonts w:ascii="Arial" w:hAnsi="Arial" w:cs="Arial"/>
          <w:lang w:eastAsia="cs-CZ"/>
        </w:rPr>
        <w:t xml:space="preserve"> </w:t>
      </w:r>
      <w:r w:rsidR="00325A33">
        <w:rPr>
          <w:rFonts w:ascii="Arial" w:hAnsi="Arial" w:cs="Arial"/>
          <w:lang w:eastAsia="cs-CZ"/>
        </w:rPr>
        <w:t>pak</w:t>
      </w:r>
      <w:r w:rsidR="007D7DA1">
        <w:rPr>
          <w:rFonts w:ascii="Arial" w:hAnsi="Arial" w:cs="Arial"/>
          <w:lang w:eastAsia="cs-CZ"/>
        </w:rPr>
        <w:t xml:space="preserve"> na Praze 4</w:t>
      </w:r>
      <w:r w:rsidR="008966D2">
        <w:rPr>
          <w:rFonts w:ascii="Arial" w:hAnsi="Arial" w:cs="Arial"/>
          <w:lang w:eastAsia="cs-CZ"/>
        </w:rPr>
        <w:t xml:space="preserve"> a 9</w:t>
      </w:r>
      <w:r w:rsidR="007D7DA1">
        <w:rPr>
          <w:rFonts w:ascii="Arial" w:hAnsi="Arial" w:cs="Arial"/>
          <w:lang w:eastAsia="cs-CZ"/>
        </w:rPr>
        <w:t>. Největší počet projektů je menších</w:t>
      </w:r>
      <w:r w:rsidR="00A142A5">
        <w:rPr>
          <w:rFonts w:ascii="Arial" w:hAnsi="Arial" w:cs="Arial"/>
          <w:lang w:eastAsia="cs-CZ"/>
        </w:rPr>
        <w:t>,</w:t>
      </w:r>
      <w:r w:rsidR="007D7DA1">
        <w:rPr>
          <w:rFonts w:ascii="Arial" w:hAnsi="Arial" w:cs="Arial"/>
          <w:lang w:eastAsia="cs-CZ"/>
        </w:rPr>
        <w:t xml:space="preserve"> do 50 bytů. Na celkovém počtu připravovaných bytů se však podílejí </w:t>
      </w:r>
      <w:r w:rsidR="00F877E2">
        <w:rPr>
          <w:rFonts w:ascii="Arial" w:hAnsi="Arial" w:cs="Arial"/>
          <w:lang w:eastAsia="cs-CZ"/>
        </w:rPr>
        <w:t xml:space="preserve">necelými </w:t>
      </w:r>
      <w:r w:rsidR="007D7DA1">
        <w:rPr>
          <w:rFonts w:ascii="Arial" w:hAnsi="Arial" w:cs="Arial"/>
          <w:lang w:eastAsia="cs-CZ"/>
        </w:rPr>
        <w:t xml:space="preserve">15 procenty. Je tedy zřejmé, že rychlé řešení bytové krize přinese spíše podpora velkých projektů, v nichž </w:t>
      </w:r>
      <w:r w:rsidR="00916EA8">
        <w:rPr>
          <w:rFonts w:ascii="Arial" w:hAnsi="Arial" w:cs="Arial"/>
          <w:lang w:eastAsia="cs-CZ"/>
        </w:rPr>
        <w:t>čeká</w:t>
      </w:r>
      <w:r w:rsidR="007D7DA1">
        <w:rPr>
          <w:rFonts w:ascii="Arial" w:hAnsi="Arial" w:cs="Arial"/>
          <w:lang w:eastAsia="cs-CZ"/>
        </w:rPr>
        <w:t xml:space="preserve"> </w:t>
      </w:r>
      <w:r w:rsidR="00F877E2">
        <w:rPr>
          <w:rFonts w:ascii="Arial" w:hAnsi="Arial" w:cs="Arial"/>
          <w:lang w:eastAsia="cs-CZ"/>
        </w:rPr>
        <w:t xml:space="preserve">více než </w:t>
      </w:r>
      <w:r w:rsidR="007D7DA1">
        <w:rPr>
          <w:rFonts w:ascii="Arial" w:hAnsi="Arial" w:cs="Arial"/>
          <w:lang w:eastAsia="cs-CZ"/>
        </w:rPr>
        <w:t xml:space="preserve">85 procent </w:t>
      </w:r>
      <w:r w:rsidR="008966D2">
        <w:rPr>
          <w:rFonts w:ascii="Arial" w:hAnsi="Arial" w:cs="Arial"/>
          <w:lang w:eastAsia="cs-CZ"/>
        </w:rPr>
        <w:t xml:space="preserve">všech </w:t>
      </w:r>
      <w:r w:rsidR="007D7DA1">
        <w:rPr>
          <w:rFonts w:ascii="Arial" w:hAnsi="Arial" w:cs="Arial"/>
          <w:lang w:eastAsia="cs-CZ"/>
        </w:rPr>
        <w:t xml:space="preserve">bytů v přípravě. </w:t>
      </w:r>
    </w:p>
    <w:p w:rsidR="006B39CF" w:rsidRDefault="006B39CF" w:rsidP="001E1EF3">
      <w:pPr>
        <w:spacing w:after="0"/>
        <w:contextualSpacing/>
        <w:rPr>
          <w:rFonts w:ascii="Arial" w:hAnsi="Arial" w:cs="Arial"/>
          <w:b/>
          <w:lang w:eastAsia="cs-CZ"/>
        </w:rPr>
      </w:pPr>
    </w:p>
    <w:p w:rsidR="00325A33" w:rsidRDefault="004B67E6" w:rsidP="001E1EF3">
      <w:pPr>
        <w:spacing w:after="0"/>
        <w:contextualSpacing/>
        <w:rPr>
          <w:rFonts w:ascii="Arial" w:hAnsi="Arial" w:cs="Arial"/>
          <w:lang w:eastAsia="cs-CZ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3416300" cy="2272665"/>
            <wp:effectExtent l="0" t="0" r="0" b="0"/>
            <wp:wrapTight wrapText="bothSides">
              <wp:wrapPolygon edited="0">
                <wp:start x="0" y="0"/>
                <wp:lineTo x="0" y="21365"/>
                <wp:lineTo x="21439" y="21365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ulka_by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C16">
        <w:rPr>
          <w:rFonts w:ascii="Arial" w:hAnsi="Arial" w:cs="Arial"/>
          <w:lang w:eastAsia="cs-CZ"/>
        </w:rPr>
        <w:t>Zatím ale stále d</w:t>
      </w:r>
      <w:r w:rsidR="00325A33">
        <w:rPr>
          <w:rFonts w:ascii="Arial" w:hAnsi="Arial" w:cs="Arial"/>
          <w:lang w:eastAsia="cs-CZ"/>
        </w:rPr>
        <w:t xml:space="preserve">eficit </w:t>
      </w:r>
      <w:r w:rsidR="00D90C16">
        <w:rPr>
          <w:rFonts w:ascii="Arial" w:hAnsi="Arial" w:cs="Arial"/>
          <w:lang w:eastAsia="cs-CZ"/>
        </w:rPr>
        <w:t>v </w:t>
      </w:r>
      <w:r w:rsidR="00325A33">
        <w:rPr>
          <w:rFonts w:ascii="Arial" w:hAnsi="Arial" w:cs="Arial"/>
          <w:lang w:eastAsia="cs-CZ"/>
        </w:rPr>
        <w:t>nov</w:t>
      </w:r>
      <w:r w:rsidR="00D90C16">
        <w:rPr>
          <w:rFonts w:ascii="Arial" w:hAnsi="Arial" w:cs="Arial"/>
          <w:lang w:eastAsia="cs-CZ"/>
        </w:rPr>
        <w:t>é výstavbě narůstá</w:t>
      </w:r>
      <w:r w:rsidR="00325A33">
        <w:rPr>
          <w:rFonts w:ascii="Arial" w:hAnsi="Arial" w:cs="Arial"/>
          <w:lang w:eastAsia="cs-CZ"/>
        </w:rPr>
        <w:t xml:space="preserve">. Ročně by totiž bylo v Praze potřeba postavit </w:t>
      </w:r>
      <w:r>
        <w:rPr>
          <w:rFonts w:ascii="Arial" w:hAnsi="Arial" w:cs="Arial"/>
          <w:lang w:eastAsia="cs-CZ"/>
        </w:rPr>
        <w:t>minimálně 10 tisíc</w:t>
      </w:r>
      <w:r w:rsidR="00325A33">
        <w:rPr>
          <w:rFonts w:ascii="Arial" w:hAnsi="Arial" w:cs="Arial"/>
          <w:lang w:eastAsia="cs-CZ"/>
        </w:rPr>
        <w:t xml:space="preserve"> bytů</w:t>
      </w:r>
      <w:r w:rsidR="00D90C16">
        <w:rPr>
          <w:rFonts w:ascii="Arial" w:hAnsi="Arial" w:cs="Arial"/>
          <w:lang w:eastAsia="cs-CZ"/>
        </w:rPr>
        <w:t>. O</w:t>
      </w:r>
      <w:r w:rsidR="00325A33">
        <w:rPr>
          <w:rFonts w:ascii="Arial" w:hAnsi="Arial" w:cs="Arial"/>
          <w:lang w:eastAsia="cs-CZ"/>
        </w:rPr>
        <w:t xml:space="preserve">d roku 2010, kdy začal klesat počet </w:t>
      </w:r>
      <w:r w:rsidR="00D90C16">
        <w:rPr>
          <w:rFonts w:ascii="Arial" w:hAnsi="Arial" w:cs="Arial"/>
          <w:lang w:eastAsia="cs-CZ"/>
        </w:rPr>
        <w:t>vydaných povolení</w:t>
      </w:r>
      <w:r w:rsidR="00325A33">
        <w:rPr>
          <w:rFonts w:ascii="Arial" w:hAnsi="Arial" w:cs="Arial"/>
          <w:lang w:eastAsia="cs-CZ"/>
        </w:rPr>
        <w:t xml:space="preserve">, bylo </w:t>
      </w:r>
      <w:r w:rsidR="00AD18A2">
        <w:rPr>
          <w:rFonts w:ascii="Arial" w:hAnsi="Arial" w:cs="Arial"/>
          <w:lang w:eastAsia="cs-CZ"/>
        </w:rPr>
        <w:t xml:space="preserve">ročně </w:t>
      </w:r>
      <w:r w:rsidR="00325A33">
        <w:rPr>
          <w:rFonts w:ascii="Arial" w:hAnsi="Arial" w:cs="Arial"/>
          <w:lang w:eastAsia="cs-CZ"/>
        </w:rPr>
        <w:t xml:space="preserve">v průměru </w:t>
      </w:r>
      <w:r w:rsidR="00D90C16">
        <w:rPr>
          <w:rFonts w:ascii="Arial" w:hAnsi="Arial" w:cs="Arial"/>
          <w:lang w:eastAsia="cs-CZ"/>
        </w:rPr>
        <w:t>zahájeno</w:t>
      </w:r>
      <w:r w:rsidR="00325A33">
        <w:rPr>
          <w:rFonts w:ascii="Arial" w:hAnsi="Arial" w:cs="Arial"/>
          <w:lang w:eastAsia="cs-CZ"/>
        </w:rPr>
        <w:t xml:space="preserve"> 3500</w:t>
      </w:r>
      <w:r w:rsidR="00D90C16">
        <w:rPr>
          <w:rFonts w:ascii="Arial" w:hAnsi="Arial" w:cs="Arial"/>
          <w:lang w:eastAsia="cs-CZ"/>
        </w:rPr>
        <w:t xml:space="preserve"> bytů v bytových, ale i rodinných domech.</w:t>
      </w:r>
      <w:r w:rsidR="00325A33">
        <w:rPr>
          <w:rFonts w:ascii="Arial" w:hAnsi="Arial" w:cs="Arial"/>
          <w:lang w:eastAsia="cs-CZ"/>
        </w:rPr>
        <w:t xml:space="preserve"> </w:t>
      </w:r>
    </w:p>
    <w:p w:rsidR="00325A33" w:rsidRDefault="00325A33" w:rsidP="001E1EF3">
      <w:pPr>
        <w:spacing w:after="0"/>
        <w:contextualSpacing/>
        <w:rPr>
          <w:rFonts w:ascii="Arial" w:hAnsi="Arial" w:cs="Arial"/>
          <w:lang w:eastAsia="cs-CZ"/>
        </w:rPr>
      </w:pPr>
    </w:p>
    <w:p w:rsidR="004B67E6" w:rsidRDefault="00D90C16" w:rsidP="001E1EF3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Z analýzy vyplývá, že trend zaměření na brownfieldy je správný. </w:t>
      </w:r>
      <w:r w:rsidR="009E5426" w:rsidRPr="009E5426">
        <w:rPr>
          <w:rFonts w:ascii="Arial" w:hAnsi="Arial" w:cs="Arial"/>
          <w:lang w:eastAsia="cs-CZ"/>
        </w:rPr>
        <w:t xml:space="preserve">Většina </w:t>
      </w:r>
      <w:r>
        <w:rPr>
          <w:rFonts w:ascii="Arial" w:hAnsi="Arial" w:cs="Arial"/>
          <w:lang w:eastAsia="cs-CZ"/>
        </w:rPr>
        <w:t>připravovaných byt</w:t>
      </w:r>
      <w:r w:rsidR="009E5426" w:rsidRPr="009E5426">
        <w:rPr>
          <w:rFonts w:ascii="Arial" w:hAnsi="Arial" w:cs="Arial"/>
          <w:lang w:eastAsia="cs-CZ"/>
        </w:rPr>
        <w:t>ů</w:t>
      </w:r>
      <w:r w:rsidR="007D7DA1">
        <w:rPr>
          <w:rFonts w:ascii="Arial" w:hAnsi="Arial" w:cs="Arial"/>
          <w:lang w:eastAsia="cs-CZ"/>
        </w:rPr>
        <w:t xml:space="preserve"> </w:t>
      </w:r>
      <w:r w:rsidR="009E5426">
        <w:rPr>
          <w:rFonts w:ascii="Arial" w:hAnsi="Arial" w:cs="Arial"/>
          <w:lang w:eastAsia="cs-CZ"/>
        </w:rPr>
        <w:t xml:space="preserve">má </w:t>
      </w:r>
      <w:r w:rsidR="009E5426" w:rsidRPr="009E5426">
        <w:rPr>
          <w:rFonts w:ascii="Arial" w:hAnsi="Arial" w:cs="Arial"/>
          <w:lang w:eastAsia="cs-CZ"/>
        </w:rPr>
        <w:t>vznik</w:t>
      </w:r>
      <w:r w:rsidR="009E5426">
        <w:rPr>
          <w:rFonts w:ascii="Arial" w:hAnsi="Arial" w:cs="Arial"/>
          <w:lang w:eastAsia="cs-CZ"/>
        </w:rPr>
        <w:t>at</w:t>
      </w:r>
      <w:r w:rsidR="009E5426" w:rsidRPr="009E5426">
        <w:rPr>
          <w:rFonts w:ascii="Arial" w:hAnsi="Arial" w:cs="Arial"/>
          <w:lang w:eastAsia="cs-CZ"/>
        </w:rPr>
        <w:t xml:space="preserve"> </w:t>
      </w:r>
      <w:r w:rsidR="00A142A5">
        <w:rPr>
          <w:rFonts w:ascii="Arial" w:hAnsi="Arial" w:cs="Arial"/>
          <w:lang w:eastAsia="cs-CZ"/>
        </w:rPr>
        <w:t xml:space="preserve">právě zde. Obvykle jde o </w:t>
      </w:r>
      <w:r w:rsidR="009E5426">
        <w:rPr>
          <w:rFonts w:ascii="Arial" w:hAnsi="Arial" w:cs="Arial"/>
          <w:lang w:eastAsia="cs-CZ"/>
        </w:rPr>
        <w:t>pozem</w:t>
      </w:r>
      <w:r w:rsidR="00A142A5">
        <w:rPr>
          <w:rFonts w:ascii="Arial" w:hAnsi="Arial" w:cs="Arial"/>
          <w:lang w:eastAsia="cs-CZ"/>
        </w:rPr>
        <w:t>ky</w:t>
      </w:r>
      <w:r w:rsidR="009E5426">
        <w:rPr>
          <w:rFonts w:ascii="Arial" w:hAnsi="Arial" w:cs="Arial"/>
          <w:lang w:eastAsia="cs-CZ"/>
        </w:rPr>
        <w:t xml:space="preserve"> po různých zastaralých skladech a nevyužitých </w:t>
      </w:r>
      <w:r w:rsidR="008966D2">
        <w:rPr>
          <w:rFonts w:ascii="Arial" w:hAnsi="Arial" w:cs="Arial"/>
          <w:lang w:eastAsia="cs-CZ"/>
        </w:rPr>
        <w:t>průmyslových areálech</w:t>
      </w:r>
      <w:r w:rsidR="009E5426">
        <w:rPr>
          <w:rFonts w:ascii="Arial" w:hAnsi="Arial" w:cs="Arial"/>
          <w:lang w:eastAsia="cs-CZ"/>
        </w:rPr>
        <w:t xml:space="preserve">. </w:t>
      </w:r>
      <w:r w:rsidR="004B67E6">
        <w:rPr>
          <w:rFonts w:ascii="Arial" w:hAnsi="Arial" w:cs="Arial"/>
          <w:lang w:eastAsia="cs-CZ"/>
        </w:rPr>
        <w:t xml:space="preserve">Dvě třetiny </w:t>
      </w:r>
      <w:r w:rsidR="009E5426">
        <w:rPr>
          <w:rFonts w:ascii="Arial" w:hAnsi="Arial" w:cs="Arial"/>
          <w:lang w:eastAsia="cs-CZ"/>
        </w:rPr>
        <w:t>z</w:t>
      </w:r>
      <w:r w:rsidR="00802D80">
        <w:rPr>
          <w:rFonts w:ascii="Arial" w:hAnsi="Arial" w:cs="Arial"/>
          <w:lang w:eastAsia="cs-CZ"/>
        </w:rPr>
        <w:t xml:space="preserve"> </w:t>
      </w:r>
      <w:r w:rsidR="00802D80" w:rsidRPr="00802D80">
        <w:rPr>
          <w:rFonts w:ascii="Arial" w:hAnsi="Arial" w:cs="Arial"/>
          <w:lang w:eastAsia="cs-CZ"/>
        </w:rPr>
        <w:t>96</w:t>
      </w:r>
      <w:r w:rsidR="009E5426" w:rsidRPr="00802D80">
        <w:rPr>
          <w:rFonts w:ascii="Arial" w:hAnsi="Arial" w:cs="Arial"/>
          <w:lang w:eastAsia="cs-CZ"/>
        </w:rPr>
        <w:t xml:space="preserve"> tisíc připravovaných</w:t>
      </w:r>
      <w:r w:rsidR="009E5426" w:rsidRPr="009E5426">
        <w:rPr>
          <w:rFonts w:ascii="Arial" w:hAnsi="Arial" w:cs="Arial"/>
          <w:lang w:eastAsia="cs-CZ"/>
        </w:rPr>
        <w:t xml:space="preserve"> bytů</w:t>
      </w:r>
      <w:r w:rsidR="009E5426">
        <w:rPr>
          <w:rFonts w:ascii="Arial" w:hAnsi="Arial" w:cs="Arial"/>
          <w:lang w:eastAsia="cs-CZ"/>
        </w:rPr>
        <w:t xml:space="preserve"> </w:t>
      </w:r>
      <w:r w:rsidR="00375136">
        <w:rPr>
          <w:rFonts w:ascii="Arial" w:hAnsi="Arial" w:cs="Arial"/>
          <w:lang w:eastAsia="cs-CZ"/>
        </w:rPr>
        <w:t>se chyst</w:t>
      </w:r>
      <w:r w:rsidR="004B67E6">
        <w:rPr>
          <w:rFonts w:ascii="Arial" w:hAnsi="Arial" w:cs="Arial"/>
          <w:lang w:eastAsia="cs-CZ"/>
        </w:rPr>
        <w:t xml:space="preserve">ají </w:t>
      </w:r>
      <w:r w:rsidR="009E5426">
        <w:rPr>
          <w:rFonts w:ascii="Arial" w:hAnsi="Arial" w:cs="Arial"/>
          <w:lang w:eastAsia="cs-CZ"/>
        </w:rPr>
        <w:t>na t</w:t>
      </w:r>
      <w:r w:rsidR="006B39CF">
        <w:rPr>
          <w:rFonts w:ascii="Arial" w:hAnsi="Arial" w:cs="Arial"/>
          <w:lang w:eastAsia="cs-CZ"/>
        </w:rPr>
        <w:t>omto typu</w:t>
      </w:r>
      <w:r w:rsidR="009E5426">
        <w:rPr>
          <w:rFonts w:ascii="Arial" w:hAnsi="Arial" w:cs="Arial"/>
          <w:lang w:eastAsia="cs-CZ"/>
        </w:rPr>
        <w:t xml:space="preserve"> pozem</w:t>
      </w:r>
      <w:r w:rsidR="006B39CF">
        <w:rPr>
          <w:rFonts w:ascii="Arial" w:hAnsi="Arial" w:cs="Arial"/>
          <w:lang w:eastAsia="cs-CZ"/>
        </w:rPr>
        <w:t>ků</w:t>
      </w:r>
      <w:r w:rsidR="009E5426">
        <w:rPr>
          <w:rFonts w:ascii="Arial" w:hAnsi="Arial" w:cs="Arial"/>
          <w:lang w:eastAsia="cs-CZ"/>
        </w:rPr>
        <w:t>. Právě na nich totiž leží budoucnost města, a právě zde by se měl odehrávat další r</w:t>
      </w:r>
      <w:r w:rsidR="009E5426" w:rsidRPr="003C6D66">
        <w:rPr>
          <w:rFonts w:ascii="Arial" w:hAnsi="Arial" w:cs="Arial"/>
        </w:rPr>
        <w:t xml:space="preserve">ozvoj </w:t>
      </w:r>
      <w:r w:rsidR="009E5426">
        <w:rPr>
          <w:rFonts w:ascii="Arial" w:hAnsi="Arial" w:cs="Arial"/>
        </w:rPr>
        <w:t xml:space="preserve">Prahy. </w:t>
      </w:r>
    </w:p>
    <w:p w:rsidR="00E52C8A" w:rsidRDefault="009E5426" w:rsidP="001E1EF3">
      <w:pPr>
        <w:spacing w:after="0"/>
        <w:contextualSpacing/>
        <w:rPr>
          <w:rFonts w:ascii="Arial" w:hAnsi="Arial" w:cs="Arial"/>
          <w:lang w:eastAsia="cs-CZ"/>
        </w:rPr>
      </w:pPr>
      <w:r w:rsidRPr="009E5426">
        <w:rPr>
          <w:rFonts w:ascii="Arial" w:hAnsi="Arial" w:cs="Arial"/>
          <w:i/>
        </w:rPr>
        <w:lastRenderedPageBreak/>
        <w:t>„</w:t>
      </w:r>
      <w:r w:rsidR="007D7DA1">
        <w:rPr>
          <w:rFonts w:ascii="Arial" w:hAnsi="Arial" w:cs="Arial"/>
          <w:i/>
        </w:rPr>
        <w:t>V</w:t>
      </w:r>
      <w:r w:rsidRPr="009E5426">
        <w:rPr>
          <w:rFonts w:ascii="Arial" w:hAnsi="Arial" w:cs="Arial"/>
          <w:i/>
        </w:rPr>
        <w:t xml:space="preserve">elká část pražských brownfieldů </w:t>
      </w:r>
      <w:r w:rsidR="007D7DA1">
        <w:rPr>
          <w:rFonts w:ascii="Arial" w:hAnsi="Arial" w:cs="Arial"/>
          <w:i/>
        </w:rPr>
        <w:t xml:space="preserve">dnes </w:t>
      </w:r>
      <w:r w:rsidR="00C25D5F">
        <w:rPr>
          <w:rFonts w:ascii="Arial" w:hAnsi="Arial" w:cs="Arial"/>
          <w:i/>
        </w:rPr>
        <w:t>tvoří bariéry ve městě</w:t>
      </w:r>
      <w:r w:rsidRPr="009E5426">
        <w:rPr>
          <w:rFonts w:ascii="Arial" w:hAnsi="Arial" w:cs="Arial"/>
          <w:i/>
        </w:rPr>
        <w:t>, často jde o veřejnosti nepřístupná území, jsou na nich nevyužívané rozpadající se budovy a značná ekologická zátěž z původních průmyslových provozů. Jejich transformace v obytné čtvrti tak představuje logický krok a měla by být v zájmu všech,“</w:t>
      </w:r>
      <w:r>
        <w:rPr>
          <w:rFonts w:ascii="Arial" w:hAnsi="Arial" w:cs="Arial"/>
        </w:rPr>
        <w:t xml:space="preserve"> řekl šéf Central Group Dušan Kunovský</w:t>
      </w:r>
      <w:r w:rsidRPr="005B4785">
        <w:rPr>
          <w:rFonts w:ascii="Arial" w:hAnsi="Arial" w:cs="Arial"/>
        </w:rPr>
        <w:t>.</w:t>
      </w:r>
    </w:p>
    <w:p w:rsidR="009E5426" w:rsidRDefault="009E5426" w:rsidP="001E1EF3">
      <w:pPr>
        <w:spacing w:after="0"/>
        <w:contextualSpacing/>
        <w:rPr>
          <w:rFonts w:ascii="Arial" w:hAnsi="Arial" w:cs="Arial"/>
          <w:lang w:eastAsia="cs-CZ"/>
        </w:rPr>
      </w:pPr>
    </w:p>
    <w:p w:rsidR="009E5426" w:rsidRDefault="009E5426" w:rsidP="001E1EF3">
      <w:pPr>
        <w:spacing w:after="0"/>
        <w:contextualSpacing/>
        <w:rPr>
          <w:rFonts w:ascii="Arial" w:hAnsi="Arial" w:cs="Arial"/>
          <w:color w:val="000000" w:themeColor="text1"/>
          <w:lang w:eastAsia="cs-CZ"/>
        </w:rPr>
      </w:pPr>
      <w:r w:rsidRPr="00F50C57">
        <w:rPr>
          <w:rFonts w:ascii="Arial" w:hAnsi="Arial" w:cs="Arial"/>
          <w:i/>
          <w:color w:val="000000" w:themeColor="text1"/>
        </w:rPr>
        <w:t>„Na druhou stranu je třeba mít na zřeteli, že výstavb</w:t>
      </w:r>
      <w:r w:rsidR="008966D2">
        <w:rPr>
          <w:rFonts w:ascii="Arial" w:hAnsi="Arial" w:cs="Arial"/>
          <w:i/>
          <w:color w:val="000000" w:themeColor="text1"/>
        </w:rPr>
        <w:t>a</w:t>
      </w:r>
      <w:r w:rsidRPr="00F50C57">
        <w:rPr>
          <w:rFonts w:ascii="Arial" w:hAnsi="Arial" w:cs="Arial"/>
          <w:i/>
          <w:color w:val="000000" w:themeColor="text1"/>
        </w:rPr>
        <w:t xml:space="preserve"> na brownfieldech </w:t>
      </w:r>
      <w:r w:rsidR="008966D2">
        <w:rPr>
          <w:rFonts w:ascii="Arial" w:hAnsi="Arial" w:cs="Arial"/>
          <w:i/>
          <w:color w:val="000000" w:themeColor="text1"/>
        </w:rPr>
        <w:t>je obvykle</w:t>
      </w:r>
      <w:r w:rsidR="00834FDE">
        <w:rPr>
          <w:rFonts w:ascii="Arial" w:hAnsi="Arial" w:cs="Arial"/>
          <w:i/>
          <w:color w:val="000000" w:themeColor="text1"/>
        </w:rPr>
        <w:t xml:space="preserve"> výrazně</w:t>
      </w:r>
      <w:r w:rsidR="008966D2">
        <w:rPr>
          <w:rFonts w:ascii="Arial" w:hAnsi="Arial" w:cs="Arial"/>
          <w:i/>
          <w:color w:val="000000" w:themeColor="text1"/>
        </w:rPr>
        <w:t xml:space="preserve"> dražší</w:t>
      </w:r>
      <w:r w:rsidRPr="00F50C57">
        <w:rPr>
          <w:rFonts w:ascii="Arial" w:hAnsi="Arial" w:cs="Arial"/>
          <w:i/>
          <w:color w:val="000000" w:themeColor="text1"/>
        </w:rPr>
        <w:t xml:space="preserve"> než na zelené louce. Investor zde musí počítat s náklady na dekontaminaci a demolice, které mnohdy dosahují řádu</w:t>
      </w:r>
      <w:r w:rsidR="00834FDE">
        <w:rPr>
          <w:rFonts w:ascii="Arial" w:hAnsi="Arial" w:cs="Arial"/>
          <w:i/>
          <w:color w:val="000000" w:themeColor="text1"/>
        </w:rPr>
        <w:t xml:space="preserve"> desítek i</w:t>
      </w:r>
      <w:r w:rsidRPr="00F50C57">
        <w:rPr>
          <w:rFonts w:ascii="Arial" w:hAnsi="Arial" w:cs="Arial"/>
          <w:i/>
          <w:color w:val="000000" w:themeColor="text1"/>
        </w:rPr>
        <w:t xml:space="preserve"> stovek milionů korun,“ </w:t>
      </w:r>
      <w:r w:rsidRPr="00F50C57">
        <w:rPr>
          <w:rFonts w:ascii="Arial" w:hAnsi="Arial" w:cs="Arial"/>
          <w:color w:val="000000" w:themeColor="text1"/>
        </w:rPr>
        <w:t>dodal.</w:t>
      </w:r>
      <w:r w:rsidR="00F50C57">
        <w:rPr>
          <w:rFonts w:ascii="Arial" w:hAnsi="Arial" w:cs="Arial"/>
          <w:color w:val="000000" w:themeColor="text1"/>
        </w:rPr>
        <w:t xml:space="preserve"> </w:t>
      </w:r>
      <w:r w:rsidR="00834FDE">
        <w:rPr>
          <w:rFonts w:ascii="Arial" w:hAnsi="Arial" w:cs="Arial"/>
          <w:color w:val="000000" w:themeColor="text1"/>
        </w:rPr>
        <w:t>Kromě dekontaminace</w:t>
      </w:r>
      <w:r w:rsidR="000A25EA">
        <w:rPr>
          <w:rFonts w:ascii="Arial" w:hAnsi="Arial" w:cs="Arial"/>
          <w:color w:val="000000" w:themeColor="text1"/>
        </w:rPr>
        <w:t xml:space="preserve"> investor </w:t>
      </w:r>
      <w:r w:rsidR="00ED5938">
        <w:rPr>
          <w:rFonts w:ascii="Arial" w:hAnsi="Arial" w:cs="Arial"/>
          <w:color w:val="000000" w:themeColor="text1"/>
        </w:rPr>
        <w:t xml:space="preserve">na původní </w:t>
      </w:r>
      <w:r w:rsidR="000A25EA">
        <w:rPr>
          <w:rFonts w:ascii="Arial" w:hAnsi="Arial" w:cs="Arial"/>
          <w:color w:val="000000" w:themeColor="text1"/>
        </w:rPr>
        <w:t xml:space="preserve">brownfieldy </w:t>
      </w:r>
      <w:r w:rsidR="00ED5938">
        <w:rPr>
          <w:rFonts w:ascii="Arial" w:hAnsi="Arial" w:cs="Arial"/>
          <w:color w:val="000000" w:themeColor="text1"/>
        </w:rPr>
        <w:t xml:space="preserve">přinese nový městský život, </w:t>
      </w:r>
      <w:r w:rsidR="000A25EA">
        <w:rPr>
          <w:rFonts w:ascii="Arial" w:hAnsi="Arial" w:cs="Arial"/>
          <w:color w:val="000000" w:themeColor="text1"/>
        </w:rPr>
        <w:t>ozelení</w:t>
      </w:r>
      <w:r w:rsidR="00ED5938">
        <w:rPr>
          <w:rFonts w:ascii="Arial" w:hAnsi="Arial" w:cs="Arial"/>
          <w:color w:val="000000" w:themeColor="text1"/>
        </w:rPr>
        <w:t xml:space="preserve"> je, vytvoří hodnotný veřejný prostor</w:t>
      </w:r>
      <w:r w:rsidR="000A25EA">
        <w:rPr>
          <w:rFonts w:ascii="Arial" w:hAnsi="Arial" w:cs="Arial"/>
          <w:color w:val="000000" w:themeColor="text1"/>
        </w:rPr>
        <w:t xml:space="preserve"> a od veřejné správy </w:t>
      </w:r>
      <w:r w:rsidR="008966D2">
        <w:rPr>
          <w:rFonts w:ascii="Arial" w:hAnsi="Arial" w:cs="Arial"/>
          <w:color w:val="000000" w:themeColor="text1"/>
        </w:rPr>
        <w:t>za to</w:t>
      </w:r>
      <w:r w:rsidR="000A25EA">
        <w:rPr>
          <w:rFonts w:ascii="Arial" w:hAnsi="Arial" w:cs="Arial"/>
          <w:color w:val="000000" w:themeColor="text1"/>
        </w:rPr>
        <w:t xml:space="preserve"> nepožaduje nic. </w:t>
      </w:r>
      <w:r w:rsidRPr="000A25EA">
        <w:rPr>
          <w:rFonts w:ascii="Arial" w:hAnsi="Arial" w:cs="Arial"/>
          <w:color w:val="000000" w:themeColor="text1"/>
          <w:lang w:eastAsia="cs-CZ"/>
        </w:rPr>
        <w:t>Pro město</w:t>
      </w:r>
      <w:r w:rsidR="00834FDE">
        <w:rPr>
          <w:rFonts w:ascii="Arial" w:hAnsi="Arial" w:cs="Arial"/>
          <w:color w:val="000000" w:themeColor="text1"/>
          <w:lang w:eastAsia="cs-CZ"/>
        </w:rPr>
        <w:t xml:space="preserve"> j</w:t>
      </w:r>
      <w:r w:rsidRPr="000A25EA">
        <w:rPr>
          <w:rFonts w:ascii="Arial" w:hAnsi="Arial" w:cs="Arial"/>
          <w:color w:val="000000" w:themeColor="text1"/>
          <w:lang w:eastAsia="cs-CZ"/>
        </w:rPr>
        <w:t>e podpora soukromé výstavby na brownfieldech</w:t>
      </w:r>
      <w:r w:rsidR="00ED5938">
        <w:rPr>
          <w:rFonts w:ascii="Arial" w:hAnsi="Arial" w:cs="Arial"/>
          <w:color w:val="000000" w:themeColor="text1"/>
          <w:lang w:eastAsia="cs-CZ"/>
        </w:rPr>
        <w:t>,</w:t>
      </w:r>
      <w:r w:rsidR="008966D2">
        <w:rPr>
          <w:rFonts w:ascii="Arial" w:hAnsi="Arial" w:cs="Arial"/>
          <w:color w:val="000000" w:themeColor="text1"/>
          <w:lang w:eastAsia="cs-CZ"/>
        </w:rPr>
        <w:t xml:space="preserve"> v místech s existující veřejnou dopravou a infrastrukturou</w:t>
      </w:r>
      <w:r w:rsidR="00ED5938">
        <w:rPr>
          <w:rFonts w:ascii="Arial" w:hAnsi="Arial" w:cs="Arial"/>
          <w:color w:val="000000" w:themeColor="text1"/>
          <w:lang w:eastAsia="cs-CZ"/>
        </w:rPr>
        <w:t>,</w:t>
      </w:r>
      <w:r w:rsidRPr="000A25EA">
        <w:rPr>
          <w:rFonts w:ascii="Arial" w:hAnsi="Arial" w:cs="Arial"/>
          <w:color w:val="000000" w:themeColor="text1"/>
          <w:lang w:eastAsia="cs-CZ"/>
        </w:rPr>
        <w:t xml:space="preserve"> tím nejlepším řešením současné bytové krize. </w:t>
      </w:r>
      <w:r w:rsidRPr="000A25EA">
        <w:rPr>
          <w:rFonts w:ascii="Arial" w:hAnsi="Arial" w:cs="Arial"/>
          <w:i/>
          <w:color w:val="000000" w:themeColor="text1"/>
          <w:lang w:eastAsia="cs-CZ"/>
        </w:rPr>
        <w:t>„</w:t>
      </w:r>
      <w:r w:rsidR="001E1EF3">
        <w:rPr>
          <w:rFonts w:ascii="Arial" w:hAnsi="Arial" w:cs="Arial"/>
          <w:i/>
          <w:color w:val="000000" w:themeColor="text1"/>
          <w:lang w:eastAsia="cs-CZ"/>
        </w:rPr>
        <w:t xml:space="preserve">Změny územního plánu na brownfieldech řešící problémy dopravy a </w:t>
      </w:r>
      <w:r w:rsidR="00470B0F">
        <w:rPr>
          <w:rFonts w:ascii="Arial" w:hAnsi="Arial" w:cs="Arial"/>
          <w:i/>
          <w:color w:val="000000" w:themeColor="text1"/>
          <w:lang w:eastAsia="cs-CZ"/>
        </w:rPr>
        <w:t xml:space="preserve">konkrétní projekty </w:t>
      </w:r>
      <w:r w:rsidR="001E1EF3">
        <w:rPr>
          <w:rFonts w:ascii="Arial" w:hAnsi="Arial" w:cs="Arial"/>
          <w:i/>
          <w:color w:val="000000" w:themeColor="text1"/>
          <w:lang w:eastAsia="cs-CZ"/>
        </w:rPr>
        <w:t xml:space="preserve">dostupného bydlení by </w:t>
      </w:r>
      <w:r w:rsidR="00325A33">
        <w:rPr>
          <w:rFonts w:ascii="Arial" w:hAnsi="Arial" w:cs="Arial"/>
          <w:i/>
          <w:color w:val="000000" w:themeColor="text1"/>
          <w:lang w:eastAsia="cs-CZ"/>
        </w:rPr>
        <w:t xml:space="preserve">tak </w:t>
      </w:r>
      <w:r w:rsidR="001E1EF3">
        <w:rPr>
          <w:rFonts w:ascii="Arial" w:hAnsi="Arial" w:cs="Arial"/>
          <w:i/>
          <w:color w:val="000000" w:themeColor="text1"/>
          <w:lang w:eastAsia="cs-CZ"/>
        </w:rPr>
        <w:t xml:space="preserve">měly mít jednoznačně </w:t>
      </w:r>
      <w:r w:rsidR="00470B0F">
        <w:rPr>
          <w:rFonts w:ascii="Arial" w:hAnsi="Arial" w:cs="Arial"/>
          <w:i/>
          <w:color w:val="000000" w:themeColor="text1"/>
          <w:lang w:eastAsia="cs-CZ"/>
        </w:rPr>
        <w:t>prioritu</w:t>
      </w:r>
      <w:r w:rsidR="001E1EF3">
        <w:rPr>
          <w:rFonts w:ascii="Arial" w:hAnsi="Arial" w:cs="Arial"/>
          <w:i/>
          <w:color w:val="000000" w:themeColor="text1"/>
          <w:lang w:eastAsia="cs-CZ"/>
        </w:rPr>
        <w:t xml:space="preserve"> a zrychlený režim projednávání</w:t>
      </w:r>
      <w:r w:rsidRPr="000A25EA">
        <w:rPr>
          <w:rFonts w:ascii="Arial" w:hAnsi="Arial" w:cs="Arial"/>
          <w:i/>
          <w:color w:val="000000" w:themeColor="text1"/>
          <w:lang w:eastAsia="cs-CZ"/>
        </w:rPr>
        <w:t xml:space="preserve">,“ </w:t>
      </w:r>
      <w:r w:rsidRPr="000A25EA">
        <w:rPr>
          <w:rFonts w:ascii="Arial" w:hAnsi="Arial" w:cs="Arial"/>
          <w:color w:val="000000" w:themeColor="text1"/>
          <w:lang w:eastAsia="cs-CZ"/>
        </w:rPr>
        <w:t>vysvětlil Kunovský.</w:t>
      </w:r>
    </w:p>
    <w:p w:rsidR="001E1EF3" w:rsidRPr="000A25EA" w:rsidRDefault="001E1EF3" w:rsidP="001E1EF3">
      <w:pPr>
        <w:spacing w:after="0"/>
        <w:contextualSpacing/>
        <w:rPr>
          <w:rFonts w:ascii="Arial" w:hAnsi="Arial" w:cs="Arial"/>
          <w:color w:val="000000" w:themeColor="text1"/>
          <w:lang w:eastAsia="cs-CZ"/>
        </w:rPr>
      </w:pPr>
    </w:p>
    <w:p w:rsidR="009E5426" w:rsidRPr="009E5426" w:rsidRDefault="00470B0F" w:rsidP="001E1EF3">
      <w:pPr>
        <w:spacing w:after="0"/>
        <w:contextualSpacing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30.000 nových bytů</w:t>
      </w:r>
      <w:r w:rsidR="009E5426" w:rsidRPr="009E5426">
        <w:rPr>
          <w:rFonts w:ascii="Arial" w:hAnsi="Arial" w:cs="Arial"/>
          <w:b/>
          <w:lang w:eastAsia="cs-CZ"/>
        </w:rPr>
        <w:t xml:space="preserve"> v přípravě jen od Central Group</w:t>
      </w:r>
    </w:p>
    <w:p w:rsidR="008966D2" w:rsidRDefault="008966D2" w:rsidP="001E1EF3">
      <w:pPr>
        <w:spacing w:after="0"/>
        <w:contextualSpacing/>
        <w:rPr>
          <w:rFonts w:ascii="Arial" w:hAnsi="Arial" w:cs="Arial"/>
          <w:lang w:eastAsia="cs-CZ"/>
        </w:rPr>
      </w:pPr>
    </w:p>
    <w:p w:rsidR="009E5426" w:rsidRDefault="00375136" w:rsidP="001E1EF3">
      <w:pPr>
        <w:spacing w:after="0"/>
        <w:contextualSpacing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Central Group je největším vlastníkem pozemků pro bytovou výstavbu v Praze. V jeho portfoliu je jen aktuálně více než milion </w:t>
      </w:r>
      <w:r w:rsidR="00834FDE">
        <w:rPr>
          <w:rFonts w:ascii="Arial" w:hAnsi="Arial" w:cs="Arial"/>
          <w:lang w:eastAsia="cs-CZ"/>
        </w:rPr>
        <w:t>metrů čtverečních</w:t>
      </w:r>
      <w:r>
        <w:rPr>
          <w:rFonts w:ascii="Arial" w:hAnsi="Arial" w:cs="Arial"/>
          <w:lang w:eastAsia="cs-CZ"/>
        </w:rPr>
        <w:t xml:space="preserve"> brownfieldů a pozemků určených k výstavbě pro zhruba 30 tisíc nových bytů po celé Praze.</w:t>
      </w:r>
    </w:p>
    <w:p w:rsidR="009E5426" w:rsidRDefault="009E5426" w:rsidP="001E1EF3">
      <w:pPr>
        <w:spacing w:after="0"/>
        <w:contextualSpacing/>
        <w:rPr>
          <w:rFonts w:ascii="Arial" w:hAnsi="Arial" w:cs="Arial"/>
          <w:lang w:eastAsia="cs-CZ"/>
        </w:rPr>
      </w:pPr>
    </w:p>
    <w:p w:rsidR="00325A33" w:rsidRDefault="00325A33" w:rsidP="00325A33">
      <w:pPr>
        <w:tabs>
          <w:tab w:val="num" w:pos="720"/>
        </w:tabs>
        <w:spacing w:after="0"/>
        <w:contextualSpacing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Společnost se v posledních letech zaměřuje právě na transformaci</w:t>
      </w:r>
      <w:r w:rsidRPr="009E5426">
        <w:rPr>
          <w:rFonts w:ascii="Arial" w:hAnsi="Arial" w:cs="Arial"/>
          <w:lang w:eastAsia="cs-CZ"/>
        </w:rPr>
        <w:t xml:space="preserve"> zanedbaných brownfieldů v</w:t>
      </w:r>
      <w:r>
        <w:rPr>
          <w:rFonts w:ascii="Arial" w:hAnsi="Arial" w:cs="Arial"/>
          <w:lang w:eastAsia="cs-CZ"/>
        </w:rPr>
        <w:t xml:space="preserve"> Praze</w:t>
      </w:r>
      <w:r w:rsidRPr="009E5426">
        <w:rPr>
          <w:rFonts w:ascii="Arial" w:hAnsi="Arial" w:cs="Arial"/>
          <w:lang w:eastAsia="cs-CZ"/>
        </w:rPr>
        <w:t xml:space="preserve"> na příjemná místa pro život, která jsou přínosem i pro své okolí</w:t>
      </w:r>
      <w:r>
        <w:rPr>
          <w:rFonts w:ascii="Arial" w:hAnsi="Arial" w:cs="Arial"/>
          <w:lang w:eastAsia="cs-CZ"/>
        </w:rPr>
        <w:t xml:space="preserve"> s množstvím zeleně a hodnotného veřejného prostoru. Většina projektů neřeší jen samotné bydlení, ale nabízí novým obyvatelům, ale i starousedlíkům služby, obchody, restaurace</w:t>
      </w:r>
      <w:r w:rsidR="00A142A5">
        <w:rPr>
          <w:rFonts w:ascii="Arial" w:hAnsi="Arial" w:cs="Arial"/>
          <w:lang w:eastAsia="cs-CZ"/>
        </w:rPr>
        <w:t>, kavárny</w:t>
      </w:r>
      <w:r>
        <w:rPr>
          <w:rFonts w:ascii="Arial" w:hAnsi="Arial" w:cs="Arial"/>
          <w:lang w:eastAsia="cs-CZ"/>
        </w:rPr>
        <w:t xml:space="preserve"> a občanskou vybavenost. Ve velkých projektech je stále běžnější, že Central Group na své náklady buduje mateřské školy, poskytuje městské části pozemky pro vybudování škol, úřadů, řeší dopravu v šir</w:t>
      </w:r>
      <w:r w:rsidR="00470B0F">
        <w:rPr>
          <w:rFonts w:ascii="Arial" w:hAnsi="Arial" w:cs="Arial"/>
          <w:lang w:eastAsia="cs-CZ"/>
        </w:rPr>
        <w:t>ším</w:t>
      </w:r>
      <w:r>
        <w:rPr>
          <w:rFonts w:ascii="Arial" w:hAnsi="Arial" w:cs="Arial"/>
          <w:lang w:eastAsia="cs-CZ"/>
        </w:rPr>
        <w:t xml:space="preserve"> okolí lokalit apod.</w:t>
      </w:r>
    </w:p>
    <w:p w:rsidR="009E5426" w:rsidRDefault="009E5426" w:rsidP="001E1EF3">
      <w:pPr>
        <w:tabs>
          <w:tab w:val="num" w:pos="720"/>
        </w:tabs>
        <w:spacing w:after="0"/>
        <w:contextualSpacing/>
        <w:rPr>
          <w:rFonts w:ascii="Arial" w:hAnsi="Arial" w:cs="Arial"/>
          <w:lang w:eastAsia="cs-CZ"/>
        </w:rPr>
      </w:pPr>
    </w:p>
    <w:p w:rsidR="009E5426" w:rsidRDefault="009E5426" w:rsidP="001E1EF3">
      <w:pPr>
        <w:tabs>
          <w:tab w:val="num" w:pos="720"/>
        </w:tabs>
        <w:spacing w:after="0"/>
        <w:contextualSpacing/>
        <w:rPr>
          <w:rFonts w:ascii="Arial" w:hAnsi="Arial" w:cs="Arial"/>
          <w:lang w:eastAsia="cs-CZ"/>
        </w:rPr>
      </w:pPr>
    </w:p>
    <w:p w:rsidR="009E5426" w:rsidRPr="009E5426" w:rsidRDefault="009E5426" w:rsidP="001E1EF3">
      <w:pPr>
        <w:tabs>
          <w:tab w:val="num" w:pos="720"/>
        </w:tabs>
        <w:spacing w:after="0"/>
        <w:contextualSpacing/>
        <w:rPr>
          <w:rFonts w:ascii="Arial" w:hAnsi="Arial" w:cs="Arial"/>
          <w:lang w:eastAsia="cs-CZ"/>
        </w:rPr>
      </w:pPr>
    </w:p>
    <w:p w:rsidR="006A399A" w:rsidRDefault="009E5426" w:rsidP="001E1EF3">
      <w:pPr>
        <w:spacing w:after="0"/>
        <w:contextualSpacing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</w:p>
    <w:p w:rsidR="002F7372" w:rsidRDefault="002F7372" w:rsidP="001E1EF3">
      <w:pPr>
        <w:spacing w:after="0"/>
        <w:contextualSpacing/>
        <w:rPr>
          <w:rFonts w:ascii="Arial" w:hAnsi="Arial" w:cs="Arial"/>
        </w:rPr>
      </w:pPr>
    </w:p>
    <w:p w:rsidR="00182338" w:rsidRDefault="00182338" w:rsidP="001E1EF3">
      <w:pPr>
        <w:spacing w:after="0"/>
        <w:contextualSpacing/>
        <w:rPr>
          <w:rFonts w:ascii="Arial" w:hAnsi="Arial" w:cs="Arial"/>
        </w:rPr>
      </w:pPr>
    </w:p>
    <w:p w:rsidR="002F7372" w:rsidRDefault="002F7372" w:rsidP="001E1EF3">
      <w:pPr>
        <w:spacing w:after="0"/>
        <w:contextualSpacing/>
        <w:rPr>
          <w:rFonts w:ascii="Arial" w:hAnsi="Arial" w:cs="Arial"/>
        </w:rPr>
      </w:pPr>
    </w:p>
    <w:p w:rsidR="00182338" w:rsidRDefault="00182338" w:rsidP="00182338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182338" w:rsidRPr="00992A4F" w:rsidRDefault="00182338" w:rsidP="0018233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color w:val="000000" w:themeColor="text1"/>
          <w:sz w:val="16"/>
          <w:szCs w:val="16"/>
          <w:lang w:eastAsia="cs-CZ"/>
        </w:rPr>
      </w:pPr>
      <w:r w:rsidRPr="00992A4F"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Pro více informací </w:t>
      </w:r>
      <w:r w:rsidR="00470B0F"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nás </w:t>
      </w:r>
      <w:r w:rsidRPr="00992A4F"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můžete kontaktovat </w:t>
      </w:r>
      <w:r w:rsidR="00470B0F"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na </w:t>
      </w:r>
      <w:bookmarkStart w:id="0" w:name="_GoBack"/>
      <w:bookmarkEnd w:id="0"/>
      <w:r w:rsidR="00470B0F">
        <w:rPr>
          <w:rStyle w:val="Hypertextovodkaz"/>
          <w:rFonts w:ascii="Arial" w:hAnsi="Arial" w:cs="Arial"/>
          <w:color w:val="000000" w:themeColor="text1"/>
          <w:sz w:val="16"/>
          <w:szCs w:val="16"/>
          <w:lang w:eastAsia="cs-CZ"/>
        </w:rPr>
        <w:fldChar w:fldCharType="begin"/>
      </w:r>
      <w:r w:rsidR="00470B0F">
        <w:rPr>
          <w:rStyle w:val="Hypertextovodkaz"/>
          <w:rFonts w:ascii="Arial" w:hAnsi="Arial" w:cs="Arial"/>
          <w:color w:val="000000" w:themeColor="text1"/>
          <w:sz w:val="16"/>
          <w:szCs w:val="16"/>
          <w:lang w:eastAsia="cs-CZ"/>
        </w:rPr>
        <w:instrText xml:space="preserve"> HYPERLINK "mailto:</w:instrText>
      </w:r>
      <w:r w:rsidR="00470B0F" w:rsidRPr="00470B0F">
        <w:rPr>
          <w:rStyle w:val="Hypertextovodkaz"/>
          <w:rFonts w:ascii="Arial" w:hAnsi="Arial" w:cs="Arial"/>
          <w:color w:val="000000" w:themeColor="text1"/>
          <w:sz w:val="16"/>
          <w:szCs w:val="16"/>
          <w:lang w:eastAsia="cs-CZ"/>
        </w:rPr>
        <w:instrText>media@central-group.cz</w:instrText>
      </w:r>
      <w:r w:rsidR="00470B0F">
        <w:rPr>
          <w:rStyle w:val="Hypertextovodkaz"/>
          <w:rFonts w:ascii="Arial" w:hAnsi="Arial" w:cs="Arial"/>
          <w:color w:val="000000" w:themeColor="text1"/>
          <w:sz w:val="16"/>
          <w:szCs w:val="16"/>
          <w:lang w:eastAsia="cs-CZ"/>
        </w:rPr>
        <w:instrText xml:space="preserve">" </w:instrText>
      </w:r>
      <w:r w:rsidR="00470B0F">
        <w:rPr>
          <w:rStyle w:val="Hypertextovodkaz"/>
          <w:rFonts w:ascii="Arial" w:hAnsi="Arial" w:cs="Arial"/>
          <w:color w:val="000000" w:themeColor="text1"/>
          <w:sz w:val="16"/>
          <w:szCs w:val="16"/>
          <w:lang w:eastAsia="cs-CZ"/>
        </w:rPr>
        <w:fldChar w:fldCharType="separate"/>
      </w:r>
      <w:r w:rsidR="00470B0F" w:rsidRPr="00EC01E1">
        <w:rPr>
          <w:rStyle w:val="Hypertextovodkaz"/>
          <w:rFonts w:ascii="Arial" w:hAnsi="Arial" w:cs="Arial"/>
          <w:sz w:val="16"/>
          <w:szCs w:val="16"/>
          <w:lang w:eastAsia="cs-CZ"/>
        </w:rPr>
        <w:t>media@central-group.cz</w:t>
      </w:r>
      <w:r w:rsidR="00470B0F">
        <w:rPr>
          <w:rStyle w:val="Hypertextovodkaz"/>
          <w:rFonts w:ascii="Arial" w:hAnsi="Arial" w:cs="Arial"/>
          <w:color w:val="000000" w:themeColor="text1"/>
          <w:sz w:val="16"/>
          <w:szCs w:val="16"/>
          <w:lang w:eastAsia="cs-CZ"/>
        </w:rPr>
        <w:fldChar w:fldCharType="end"/>
      </w:r>
      <w:r w:rsidRPr="00992A4F"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 nebo telefonicky: Marcela Fialková – tisková mluvčí (+420 724 090 754). Podrobné informace o společnosti naleznete na </w:t>
      </w:r>
      <w:hyperlink r:id="rId10" w:history="1">
        <w:r w:rsidRPr="00992A4F">
          <w:rPr>
            <w:rStyle w:val="Hypertextovodkaz"/>
            <w:rFonts w:ascii="Arial" w:hAnsi="Arial" w:cs="Arial"/>
            <w:color w:val="000000" w:themeColor="text1"/>
            <w:sz w:val="16"/>
            <w:szCs w:val="16"/>
            <w:lang w:eastAsia="cs-CZ"/>
          </w:rPr>
          <w:t>www.central-group.cz</w:t>
        </w:r>
      </w:hyperlink>
      <w:r w:rsidRPr="00992A4F">
        <w:rPr>
          <w:rFonts w:ascii="Arial" w:hAnsi="Arial" w:cs="Arial"/>
          <w:color w:val="000000" w:themeColor="text1"/>
          <w:sz w:val="16"/>
          <w:szCs w:val="16"/>
          <w:lang w:eastAsia="cs-CZ"/>
        </w:rPr>
        <w:t>.</w:t>
      </w:r>
    </w:p>
    <w:p w:rsidR="00182338" w:rsidRPr="00992A4F" w:rsidRDefault="00182338" w:rsidP="0018233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color w:val="000000" w:themeColor="text1"/>
          <w:sz w:val="16"/>
          <w:szCs w:val="16"/>
          <w:lang w:eastAsia="cs-CZ"/>
        </w:rPr>
      </w:pPr>
    </w:p>
    <w:p w:rsidR="00182338" w:rsidRPr="005C6977" w:rsidRDefault="00182338" w:rsidP="00182338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cs-CZ"/>
        </w:rPr>
      </w:pPr>
      <w:r w:rsidRPr="00992A4F"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Central Group je největším rezidenčním stavitelem v České republice. Za 25 let svého působení dokončil již 170 rezidenčních projektů a prodal více než 15.000 nových bytů, domů a parcel. Veškeré vydělané prostředky investuje do dalšího rozvoje, a proto nepotřebuje pro svou činnost bankovní úvěry. </w:t>
      </w:r>
      <w:r>
        <w:rPr>
          <w:rFonts w:ascii="Arial" w:hAnsi="Arial" w:cs="Arial"/>
          <w:color w:val="000000" w:themeColor="text1"/>
          <w:sz w:val="16"/>
          <w:szCs w:val="16"/>
          <w:lang w:eastAsia="cs-CZ"/>
        </w:rPr>
        <w:t>Central Group se neúčastní žádných veřejných zakázek ani není příjemcem žádných veřejných dotací a každoročně platí českému státu stamilionové částky na daních. Mnoha desítkami milionů korun každý rok také přispívá na obecně prospěšné účely.</w:t>
      </w:r>
    </w:p>
    <w:p w:rsidR="00182338" w:rsidRPr="00992A4F" w:rsidRDefault="00182338" w:rsidP="00182338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cs-CZ"/>
        </w:rPr>
      </w:pPr>
    </w:p>
    <w:p w:rsidR="00182338" w:rsidRPr="00992A4F" w:rsidRDefault="00182338" w:rsidP="0018233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92A4F">
        <w:rPr>
          <w:rFonts w:ascii="Arial" w:hAnsi="Arial" w:cs="Arial"/>
          <w:color w:val="000000" w:themeColor="text1"/>
          <w:sz w:val="16"/>
          <w:szCs w:val="16"/>
          <w:lang w:eastAsia="cs-CZ"/>
        </w:rPr>
        <w:t>Central Group v současn</w:t>
      </w:r>
      <w:r w:rsidR="004B67E6">
        <w:rPr>
          <w:rFonts w:ascii="Arial" w:hAnsi="Arial" w:cs="Arial"/>
          <w:color w:val="000000" w:themeColor="text1"/>
          <w:sz w:val="16"/>
          <w:szCs w:val="16"/>
          <w:lang w:eastAsia="cs-CZ"/>
        </w:rPr>
        <w:t>osti</w:t>
      </w:r>
      <w:r w:rsidRPr="00992A4F"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eastAsia="cs-CZ"/>
        </w:rPr>
        <w:t>vlastní více než jeden milion m</w:t>
      </w:r>
      <w:r w:rsidRPr="00992A4F">
        <w:rPr>
          <w:rFonts w:ascii="Arial" w:hAnsi="Arial" w:cs="Arial"/>
          <w:color w:val="000000" w:themeColor="text1"/>
          <w:sz w:val="16"/>
          <w:szCs w:val="16"/>
          <w:vertAlign w:val="superscript"/>
          <w:lang w:eastAsia="cs-CZ"/>
        </w:rPr>
        <w:t>2</w:t>
      </w:r>
      <w:r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 brownfieldů a pozemků určených k výstavbě, na kterých může vzniknout</w:t>
      </w:r>
      <w:r w:rsidR="004B67E6"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 kolem</w:t>
      </w:r>
      <w:r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 </w:t>
      </w:r>
      <w:r w:rsidRPr="00992A4F">
        <w:rPr>
          <w:rFonts w:ascii="Arial" w:hAnsi="Arial" w:cs="Arial"/>
          <w:color w:val="000000" w:themeColor="text1"/>
          <w:sz w:val="16"/>
          <w:szCs w:val="16"/>
          <w:lang w:eastAsia="cs-CZ"/>
        </w:rPr>
        <w:t>30.000 nových bytů. Připravuje celé nové městské čtvrti</w:t>
      </w:r>
      <w:r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 a</w:t>
      </w:r>
      <w:r w:rsidRPr="00992A4F"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 na velkých projektech spolupracuje s těmi nejlepšími architekty z ČR i ze světa.</w:t>
      </w:r>
      <w:r>
        <w:rPr>
          <w:rFonts w:ascii="Arial" w:hAnsi="Arial" w:cs="Arial"/>
          <w:color w:val="000000" w:themeColor="text1"/>
          <w:sz w:val="16"/>
          <w:szCs w:val="16"/>
          <w:lang w:eastAsia="cs-CZ"/>
        </w:rPr>
        <w:t xml:space="preserve"> V aktuální nabídce společnosti jsou stovky bytů v mnoha lokalitách po celé Praze.</w:t>
      </w:r>
    </w:p>
    <w:sectPr w:rsidR="00182338" w:rsidRPr="00992A4F" w:rsidSect="00834FDE">
      <w:headerReference w:type="default" r:id="rId11"/>
      <w:pgSz w:w="11906" w:h="16838"/>
      <w:pgMar w:top="2693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503" w:rsidRDefault="00864503" w:rsidP="00655B14">
      <w:pPr>
        <w:spacing w:after="0" w:line="240" w:lineRule="auto"/>
      </w:pPr>
      <w:r>
        <w:separator/>
      </w:r>
    </w:p>
  </w:endnote>
  <w:endnote w:type="continuationSeparator" w:id="0">
    <w:p w:rsidR="00864503" w:rsidRDefault="00864503" w:rsidP="0065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503" w:rsidRDefault="00864503" w:rsidP="00655B14">
      <w:pPr>
        <w:spacing w:after="0" w:line="240" w:lineRule="auto"/>
      </w:pPr>
      <w:r>
        <w:separator/>
      </w:r>
    </w:p>
  </w:footnote>
  <w:footnote w:type="continuationSeparator" w:id="0">
    <w:p w:rsidR="00864503" w:rsidRDefault="00864503" w:rsidP="0065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3"/>
      <w:gridCol w:w="2695"/>
      <w:gridCol w:w="3550"/>
    </w:tblGrid>
    <w:tr w:rsidR="009341EF" w:rsidTr="009341EF">
      <w:trPr>
        <w:trHeight w:val="623"/>
      </w:trPr>
      <w:tc>
        <w:tcPr>
          <w:tcW w:w="3261" w:type="dxa"/>
          <w:vMerge w:val="restart"/>
          <w:vAlign w:val="center"/>
        </w:tcPr>
        <w:p w:rsidR="009341EF" w:rsidRDefault="009341EF" w:rsidP="009341EF">
          <w:pPr>
            <w:pStyle w:val="nadpis"/>
            <w:spacing w:line="276" w:lineRule="auto"/>
            <w:rPr>
              <w:color w:val="17365D"/>
              <w:sz w:val="30"/>
              <w:szCs w:val="30"/>
            </w:rPr>
          </w:pPr>
          <w:r>
            <w:rPr>
              <w:noProof/>
              <w:color w:val="17365D"/>
              <w:sz w:val="30"/>
              <w:szCs w:val="30"/>
              <w:lang w:eastAsia="cs-CZ"/>
            </w:rPr>
            <w:drawing>
              <wp:inline distT="0" distB="0" distL="0" distR="0">
                <wp:extent cx="1733550" cy="752184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CG_2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9743" cy="776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Borders>
            <w:bottom w:val="single" w:sz="4" w:space="0" w:color="auto"/>
          </w:tcBorders>
        </w:tcPr>
        <w:p w:rsidR="009341EF" w:rsidRDefault="009341EF" w:rsidP="009341EF">
          <w:pPr>
            <w:pStyle w:val="nadpis"/>
            <w:spacing w:line="276" w:lineRule="auto"/>
            <w:jc w:val="right"/>
            <w:rPr>
              <w:color w:val="17365D"/>
              <w:sz w:val="30"/>
              <w:szCs w:val="30"/>
            </w:rPr>
          </w:pPr>
        </w:p>
      </w:tc>
      <w:tc>
        <w:tcPr>
          <w:tcW w:w="3605" w:type="dxa"/>
          <w:tcBorders>
            <w:bottom w:val="single" w:sz="4" w:space="0" w:color="auto"/>
          </w:tcBorders>
        </w:tcPr>
        <w:p w:rsidR="009341EF" w:rsidRDefault="00C25D5F" w:rsidP="009341EF">
          <w:pPr>
            <w:pStyle w:val="nadpis"/>
            <w:jc w:val="right"/>
            <w:rPr>
              <w:color w:val="17365D"/>
              <w:sz w:val="30"/>
              <w:szCs w:val="30"/>
            </w:rPr>
          </w:pPr>
          <w:r>
            <w:rPr>
              <w:color w:val="17365D"/>
              <w:sz w:val="30"/>
              <w:szCs w:val="30"/>
            </w:rPr>
            <w:t>Tisková zpráva</w:t>
          </w:r>
        </w:p>
      </w:tc>
    </w:tr>
    <w:tr w:rsidR="009341EF" w:rsidTr="009341EF">
      <w:trPr>
        <w:trHeight w:val="574"/>
      </w:trPr>
      <w:tc>
        <w:tcPr>
          <w:tcW w:w="3261" w:type="dxa"/>
          <w:vMerge/>
        </w:tcPr>
        <w:p w:rsidR="009341EF" w:rsidRDefault="009341EF" w:rsidP="009341EF">
          <w:pPr>
            <w:pStyle w:val="nadpis"/>
            <w:spacing w:line="276" w:lineRule="auto"/>
            <w:jc w:val="right"/>
            <w:rPr>
              <w:color w:val="17365D"/>
              <w:sz w:val="30"/>
              <w:szCs w:val="30"/>
            </w:rPr>
          </w:pPr>
        </w:p>
      </w:tc>
      <w:tc>
        <w:tcPr>
          <w:tcW w:w="2762" w:type="dxa"/>
          <w:tcBorders>
            <w:top w:val="single" w:sz="4" w:space="0" w:color="auto"/>
          </w:tcBorders>
        </w:tcPr>
        <w:p w:rsidR="009341EF" w:rsidRDefault="009341EF" w:rsidP="009341EF">
          <w:pPr>
            <w:pStyle w:val="nadpis"/>
            <w:spacing w:line="276" w:lineRule="auto"/>
            <w:jc w:val="right"/>
            <w:rPr>
              <w:color w:val="17365D"/>
              <w:sz w:val="30"/>
              <w:szCs w:val="30"/>
            </w:rPr>
          </w:pPr>
        </w:p>
      </w:tc>
      <w:tc>
        <w:tcPr>
          <w:tcW w:w="3605" w:type="dxa"/>
          <w:tcBorders>
            <w:top w:val="single" w:sz="4" w:space="0" w:color="auto"/>
          </w:tcBorders>
          <w:vAlign w:val="center"/>
        </w:tcPr>
        <w:p w:rsidR="009341EF" w:rsidRDefault="002F7372" w:rsidP="005C224E">
          <w:pPr>
            <w:pStyle w:val="nadpis"/>
            <w:spacing w:line="276" w:lineRule="auto"/>
            <w:jc w:val="right"/>
            <w:rPr>
              <w:color w:val="17365D"/>
              <w:sz w:val="30"/>
              <w:szCs w:val="30"/>
            </w:rPr>
          </w:pPr>
          <w:r>
            <w:rPr>
              <w:color w:val="17365D"/>
              <w:sz w:val="30"/>
              <w:szCs w:val="30"/>
            </w:rPr>
            <w:t>7</w:t>
          </w:r>
          <w:r w:rsidR="009341EF" w:rsidRPr="009341EF">
            <w:rPr>
              <w:color w:val="17365D"/>
              <w:sz w:val="30"/>
              <w:szCs w:val="30"/>
            </w:rPr>
            <w:t xml:space="preserve">. </w:t>
          </w:r>
          <w:r w:rsidR="005C224E">
            <w:rPr>
              <w:color w:val="17365D"/>
              <w:sz w:val="30"/>
              <w:szCs w:val="30"/>
            </w:rPr>
            <w:t>2</w:t>
          </w:r>
          <w:r w:rsidR="009341EF" w:rsidRPr="009341EF">
            <w:rPr>
              <w:color w:val="17365D"/>
              <w:sz w:val="30"/>
              <w:szCs w:val="30"/>
            </w:rPr>
            <w:t>. 201</w:t>
          </w:r>
          <w:r w:rsidR="008C0FB6">
            <w:rPr>
              <w:color w:val="17365D"/>
              <w:sz w:val="30"/>
              <w:szCs w:val="30"/>
            </w:rPr>
            <w:t>9</w:t>
          </w:r>
        </w:p>
      </w:tc>
    </w:tr>
  </w:tbl>
  <w:p w:rsidR="00655B14" w:rsidRPr="00E25B7E" w:rsidRDefault="00655B14" w:rsidP="009341EF">
    <w:pPr>
      <w:spacing w:after="0"/>
      <w:jc w:val="right"/>
      <w:rPr>
        <w:rFonts w:ascii="Arial Black" w:hAnsi="Arial Black" w:cs="Arial"/>
        <w:b/>
        <w:sz w:val="28"/>
        <w:szCs w:val="28"/>
      </w:rPr>
    </w:pPr>
  </w:p>
  <w:p w:rsidR="00655B14" w:rsidRDefault="00655B14" w:rsidP="009341E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742F"/>
    <w:multiLevelType w:val="hybridMultilevel"/>
    <w:tmpl w:val="6180D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6EA3"/>
    <w:multiLevelType w:val="hybridMultilevel"/>
    <w:tmpl w:val="2A404E64"/>
    <w:lvl w:ilvl="0" w:tplc="C5BA16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19F6"/>
    <w:multiLevelType w:val="hybridMultilevel"/>
    <w:tmpl w:val="D20EE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60454"/>
    <w:multiLevelType w:val="hybridMultilevel"/>
    <w:tmpl w:val="D6401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65623"/>
    <w:multiLevelType w:val="hybridMultilevel"/>
    <w:tmpl w:val="954ABA50"/>
    <w:lvl w:ilvl="0" w:tplc="030E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86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A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A6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6E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48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C7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CD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07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3E418E"/>
    <w:multiLevelType w:val="hybridMultilevel"/>
    <w:tmpl w:val="46CA3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B5D92"/>
    <w:multiLevelType w:val="hybridMultilevel"/>
    <w:tmpl w:val="987EB392"/>
    <w:lvl w:ilvl="0" w:tplc="ACBAD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56"/>
    <w:rsid w:val="0000345B"/>
    <w:rsid w:val="0000781F"/>
    <w:rsid w:val="00014457"/>
    <w:rsid w:val="00022399"/>
    <w:rsid w:val="0002312D"/>
    <w:rsid w:val="00024764"/>
    <w:rsid w:val="000266CE"/>
    <w:rsid w:val="000267C4"/>
    <w:rsid w:val="0002687F"/>
    <w:rsid w:val="000310FA"/>
    <w:rsid w:val="0003162C"/>
    <w:rsid w:val="00032768"/>
    <w:rsid w:val="000330D0"/>
    <w:rsid w:val="000336D2"/>
    <w:rsid w:val="00034192"/>
    <w:rsid w:val="00034F4A"/>
    <w:rsid w:val="00036B56"/>
    <w:rsid w:val="00036D72"/>
    <w:rsid w:val="00040CBB"/>
    <w:rsid w:val="00042A08"/>
    <w:rsid w:val="0004315D"/>
    <w:rsid w:val="000449DD"/>
    <w:rsid w:val="00047F3F"/>
    <w:rsid w:val="00051163"/>
    <w:rsid w:val="000512A9"/>
    <w:rsid w:val="000524F3"/>
    <w:rsid w:val="00053FF6"/>
    <w:rsid w:val="00057673"/>
    <w:rsid w:val="0006253D"/>
    <w:rsid w:val="000640C4"/>
    <w:rsid w:val="000657F2"/>
    <w:rsid w:val="00066E90"/>
    <w:rsid w:val="000702CA"/>
    <w:rsid w:val="0007119F"/>
    <w:rsid w:val="0007250E"/>
    <w:rsid w:val="00075196"/>
    <w:rsid w:val="00075EC3"/>
    <w:rsid w:val="000778E1"/>
    <w:rsid w:val="00083452"/>
    <w:rsid w:val="000839CC"/>
    <w:rsid w:val="00083BA8"/>
    <w:rsid w:val="0008492F"/>
    <w:rsid w:val="0008540C"/>
    <w:rsid w:val="00085F81"/>
    <w:rsid w:val="000865A5"/>
    <w:rsid w:val="00091E8A"/>
    <w:rsid w:val="00094803"/>
    <w:rsid w:val="00095470"/>
    <w:rsid w:val="000A0381"/>
    <w:rsid w:val="000A25EA"/>
    <w:rsid w:val="000A2C12"/>
    <w:rsid w:val="000A555C"/>
    <w:rsid w:val="000B1F3B"/>
    <w:rsid w:val="000B1F8A"/>
    <w:rsid w:val="000B30D5"/>
    <w:rsid w:val="000B6D37"/>
    <w:rsid w:val="000C093A"/>
    <w:rsid w:val="000C111A"/>
    <w:rsid w:val="000C1853"/>
    <w:rsid w:val="000C392E"/>
    <w:rsid w:val="000C5116"/>
    <w:rsid w:val="000C61A9"/>
    <w:rsid w:val="000D0B58"/>
    <w:rsid w:val="000D2CE8"/>
    <w:rsid w:val="000D3DC9"/>
    <w:rsid w:val="000D67EC"/>
    <w:rsid w:val="000D6F5E"/>
    <w:rsid w:val="000D7AAD"/>
    <w:rsid w:val="000E3EDE"/>
    <w:rsid w:val="000F6AC2"/>
    <w:rsid w:val="000F76D9"/>
    <w:rsid w:val="0010798A"/>
    <w:rsid w:val="001121C1"/>
    <w:rsid w:val="0011263C"/>
    <w:rsid w:val="00117CBA"/>
    <w:rsid w:val="0012325C"/>
    <w:rsid w:val="001254FE"/>
    <w:rsid w:val="00126995"/>
    <w:rsid w:val="00126B39"/>
    <w:rsid w:val="00134324"/>
    <w:rsid w:val="00136B59"/>
    <w:rsid w:val="00136DD9"/>
    <w:rsid w:val="001374C1"/>
    <w:rsid w:val="0014058F"/>
    <w:rsid w:val="0014189D"/>
    <w:rsid w:val="001445FB"/>
    <w:rsid w:val="00145D58"/>
    <w:rsid w:val="00147D32"/>
    <w:rsid w:val="00152AD9"/>
    <w:rsid w:val="0015386E"/>
    <w:rsid w:val="00154E05"/>
    <w:rsid w:val="00155FBC"/>
    <w:rsid w:val="00160996"/>
    <w:rsid w:val="00163ABB"/>
    <w:rsid w:val="00167091"/>
    <w:rsid w:val="00167393"/>
    <w:rsid w:val="00167EA3"/>
    <w:rsid w:val="001709D1"/>
    <w:rsid w:val="00175BC6"/>
    <w:rsid w:val="00176DB2"/>
    <w:rsid w:val="00180DF0"/>
    <w:rsid w:val="00181963"/>
    <w:rsid w:val="00182338"/>
    <w:rsid w:val="00182A74"/>
    <w:rsid w:val="00182F69"/>
    <w:rsid w:val="001837BC"/>
    <w:rsid w:val="001839E1"/>
    <w:rsid w:val="00184AA4"/>
    <w:rsid w:val="00193090"/>
    <w:rsid w:val="001947DA"/>
    <w:rsid w:val="001975BF"/>
    <w:rsid w:val="001A0918"/>
    <w:rsid w:val="001A0E14"/>
    <w:rsid w:val="001A170E"/>
    <w:rsid w:val="001A60F5"/>
    <w:rsid w:val="001A6619"/>
    <w:rsid w:val="001B6C34"/>
    <w:rsid w:val="001B7101"/>
    <w:rsid w:val="001B7358"/>
    <w:rsid w:val="001C146C"/>
    <w:rsid w:val="001C3634"/>
    <w:rsid w:val="001C66CF"/>
    <w:rsid w:val="001C67C0"/>
    <w:rsid w:val="001C6D66"/>
    <w:rsid w:val="001D23C7"/>
    <w:rsid w:val="001D35BC"/>
    <w:rsid w:val="001D41E4"/>
    <w:rsid w:val="001D4494"/>
    <w:rsid w:val="001D7759"/>
    <w:rsid w:val="001E00BC"/>
    <w:rsid w:val="001E0C68"/>
    <w:rsid w:val="001E14EF"/>
    <w:rsid w:val="001E1516"/>
    <w:rsid w:val="001E15A7"/>
    <w:rsid w:val="001E1A62"/>
    <w:rsid w:val="001E1EF3"/>
    <w:rsid w:val="001E4947"/>
    <w:rsid w:val="001E56BE"/>
    <w:rsid w:val="001E5C33"/>
    <w:rsid w:val="001E5F36"/>
    <w:rsid w:val="001E7588"/>
    <w:rsid w:val="001F0C11"/>
    <w:rsid w:val="001F3B75"/>
    <w:rsid w:val="001F5AAF"/>
    <w:rsid w:val="001F5F25"/>
    <w:rsid w:val="001F6845"/>
    <w:rsid w:val="001F75D0"/>
    <w:rsid w:val="001F7B64"/>
    <w:rsid w:val="0020114C"/>
    <w:rsid w:val="002024C8"/>
    <w:rsid w:val="002039FC"/>
    <w:rsid w:val="002120A4"/>
    <w:rsid w:val="0021271C"/>
    <w:rsid w:val="0021414A"/>
    <w:rsid w:val="00214B9A"/>
    <w:rsid w:val="0022029B"/>
    <w:rsid w:val="00224849"/>
    <w:rsid w:val="00231B99"/>
    <w:rsid w:val="00234346"/>
    <w:rsid w:val="00234852"/>
    <w:rsid w:val="00240F34"/>
    <w:rsid w:val="002442D9"/>
    <w:rsid w:val="00244FB9"/>
    <w:rsid w:val="00253B9A"/>
    <w:rsid w:val="002543C3"/>
    <w:rsid w:val="00255584"/>
    <w:rsid w:val="00261752"/>
    <w:rsid w:val="002639DF"/>
    <w:rsid w:val="00265E94"/>
    <w:rsid w:val="002769EC"/>
    <w:rsid w:val="00277565"/>
    <w:rsid w:val="002802F5"/>
    <w:rsid w:val="00282554"/>
    <w:rsid w:val="002831AA"/>
    <w:rsid w:val="00283463"/>
    <w:rsid w:val="0028544B"/>
    <w:rsid w:val="00287A82"/>
    <w:rsid w:val="00290731"/>
    <w:rsid w:val="002A09C6"/>
    <w:rsid w:val="002A1D9E"/>
    <w:rsid w:val="002A355F"/>
    <w:rsid w:val="002A5494"/>
    <w:rsid w:val="002B22EC"/>
    <w:rsid w:val="002B245D"/>
    <w:rsid w:val="002B2E77"/>
    <w:rsid w:val="002B34A2"/>
    <w:rsid w:val="002B4E1B"/>
    <w:rsid w:val="002C100F"/>
    <w:rsid w:val="002C3B98"/>
    <w:rsid w:val="002C4DCA"/>
    <w:rsid w:val="002C5110"/>
    <w:rsid w:val="002C53C3"/>
    <w:rsid w:val="002C5688"/>
    <w:rsid w:val="002C6874"/>
    <w:rsid w:val="002D082D"/>
    <w:rsid w:val="002D2EE1"/>
    <w:rsid w:val="002D61ED"/>
    <w:rsid w:val="002D700F"/>
    <w:rsid w:val="002E04AA"/>
    <w:rsid w:val="002E128D"/>
    <w:rsid w:val="002E69D8"/>
    <w:rsid w:val="002E7D8B"/>
    <w:rsid w:val="002F02F6"/>
    <w:rsid w:val="002F3BBF"/>
    <w:rsid w:val="002F3C78"/>
    <w:rsid w:val="002F6806"/>
    <w:rsid w:val="002F696E"/>
    <w:rsid w:val="002F7372"/>
    <w:rsid w:val="00304D57"/>
    <w:rsid w:val="003073F7"/>
    <w:rsid w:val="00307FF8"/>
    <w:rsid w:val="00310056"/>
    <w:rsid w:val="003115D8"/>
    <w:rsid w:val="003152AE"/>
    <w:rsid w:val="0031568A"/>
    <w:rsid w:val="00316A88"/>
    <w:rsid w:val="00320B75"/>
    <w:rsid w:val="00325A33"/>
    <w:rsid w:val="00333809"/>
    <w:rsid w:val="003366AE"/>
    <w:rsid w:val="00336F0D"/>
    <w:rsid w:val="00337E64"/>
    <w:rsid w:val="00343FF8"/>
    <w:rsid w:val="00344915"/>
    <w:rsid w:val="003518E2"/>
    <w:rsid w:val="003526BC"/>
    <w:rsid w:val="00354906"/>
    <w:rsid w:val="00356DEF"/>
    <w:rsid w:val="003629D5"/>
    <w:rsid w:val="00364E18"/>
    <w:rsid w:val="003652CD"/>
    <w:rsid w:val="003654B7"/>
    <w:rsid w:val="0036643F"/>
    <w:rsid w:val="0036769C"/>
    <w:rsid w:val="003722A2"/>
    <w:rsid w:val="00375136"/>
    <w:rsid w:val="00376936"/>
    <w:rsid w:val="00377C0F"/>
    <w:rsid w:val="00380E96"/>
    <w:rsid w:val="0038164F"/>
    <w:rsid w:val="00390D9B"/>
    <w:rsid w:val="00393588"/>
    <w:rsid w:val="003954B7"/>
    <w:rsid w:val="00395CCC"/>
    <w:rsid w:val="003973E3"/>
    <w:rsid w:val="003975FB"/>
    <w:rsid w:val="00397DF4"/>
    <w:rsid w:val="003A4846"/>
    <w:rsid w:val="003A4E1B"/>
    <w:rsid w:val="003A5A4C"/>
    <w:rsid w:val="003A74FB"/>
    <w:rsid w:val="003B0B39"/>
    <w:rsid w:val="003B20BE"/>
    <w:rsid w:val="003B2626"/>
    <w:rsid w:val="003B5528"/>
    <w:rsid w:val="003B669D"/>
    <w:rsid w:val="003C4264"/>
    <w:rsid w:val="003D4FC0"/>
    <w:rsid w:val="003D5624"/>
    <w:rsid w:val="003E1A52"/>
    <w:rsid w:val="003E25B5"/>
    <w:rsid w:val="003E3DDE"/>
    <w:rsid w:val="003E3EEE"/>
    <w:rsid w:val="003E4FDA"/>
    <w:rsid w:val="003E5DEB"/>
    <w:rsid w:val="003E6653"/>
    <w:rsid w:val="003F1BE3"/>
    <w:rsid w:val="003F4A3F"/>
    <w:rsid w:val="004048CA"/>
    <w:rsid w:val="00404AE7"/>
    <w:rsid w:val="004065D6"/>
    <w:rsid w:val="00407B7F"/>
    <w:rsid w:val="00407D1B"/>
    <w:rsid w:val="0041092C"/>
    <w:rsid w:val="00411ECF"/>
    <w:rsid w:val="00411ED5"/>
    <w:rsid w:val="00412E52"/>
    <w:rsid w:val="00415AF5"/>
    <w:rsid w:val="00416096"/>
    <w:rsid w:val="0042143D"/>
    <w:rsid w:val="00423B06"/>
    <w:rsid w:val="004253DD"/>
    <w:rsid w:val="00425B70"/>
    <w:rsid w:val="004267CA"/>
    <w:rsid w:val="004269C0"/>
    <w:rsid w:val="0042756F"/>
    <w:rsid w:val="0043290F"/>
    <w:rsid w:val="004366E8"/>
    <w:rsid w:val="0045189F"/>
    <w:rsid w:val="00457B53"/>
    <w:rsid w:val="0046248D"/>
    <w:rsid w:val="00463C79"/>
    <w:rsid w:val="0046501B"/>
    <w:rsid w:val="0046568B"/>
    <w:rsid w:val="004669A9"/>
    <w:rsid w:val="00466BEF"/>
    <w:rsid w:val="00470B0F"/>
    <w:rsid w:val="00470BAB"/>
    <w:rsid w:val="00470FA1"/>
    <w:rsid w:val="00472B70"/>
    <w:rsid w:val="00474F5D"/>
    <w:rsid w:val="004755AC"/>
    <w:rsid w:val="00483217"/>
    <w:rsid w:val="00487B16"/>
    <w:rsid w:val="00490A3A"/>
    <w:rsid w:val="00490FEF"/>
    <w:rsid w:val="00491B22"/>
    <w:rsid w:val="00494191"/>
    <w:rsid w:val="00494878"/>
    <w:rsid w:val="004952C9"/>
    <w:rsid w:val="0049638C"/>
    <w:rsid w:val="00496B6A"/>
    <w:rsid w:val="00497AE6"/>
    <w:rsid w:val="004A1CF9"/>
    <w:rsid w:val="004A7ECD"/>
    <w:rsid w:val="004B0784"/>
    <w:rsid w:val="004B1D5E"/>
    <w:rsid w:val="004B31B4"/>
    <w:rsid w:val="004B67E6"/>
    <w:rsid w:val="004B7B91"/>
    <w:rsid w:val="004C0A81"/>
    <w:rsid w:val="004C4364"/>
    <w:rsid w:val="004C68D5"/>
    <w:rsid w:val="004D14BF"/>
    <w:rsid w:val="004D230C"/>
    <w:rsid w:val="004D3EFE"/>
    <w:rsid w:val="004D6CD4"/>
    <w:rsid w:val="004D6F71"/>
    <w:rsid w:val="004D718C"/>
    <w:rsid w:val="004E48FD"/>
    <w:rsid w:val="004E53EE"/>
    <w:rsid w:val="004E7902"/>
    <w:rsid w:val="004F340A"/>
    <w:rsid w:val="004F4589"/>
    <w:rsid w:val="0050068F"/>
    <w:rsid w:val="005045C7"/>
    <w:rsid w:val="005063E2"/>
    <w:rsid w:val="00506D83"/>
    <w:rsid w:val="00506E60"/>
    <w:rsid w:val="00516528"/>
    <w:rsid w:val="005207A4"/>
    <w:rsid w:val="005226E6"/>
    <w:rsid w:val="00522A3F"/>
    <w:rsid w:val="00525388"/>
    <w:rsid w:val="00525770"/>
    <w:rsid w:val="00526B27"/>
    <w:rsid w:val="00532D97"/>
    <w:rsid w:val="00534219"/>
    <w:rsid w:val="00536342"/>
    <w:rsid w:val="005405D8"/>
    <w:rsid w:val="00542901"/>
    <w:rsid w:val="00542996"/>
    <w:rsid w:val="00543480"/>
    <w:rsid w:val="00543E13"/>
    <w:rsid w:val="0054589E"/>
    <w:rsid w:val="005544EE"/>
    <w:rsid w:val="005562EC"/>
    <w:rsid w:val="00560668"/>
    <w:rsid w:val="00563B73"/>
    <w:rsid w:val="00564E82"/>
    <w:rsid w:val="00567B05"/>
    <w:rsid w:val="00567FCC"/>
    <w:rsid w:val="00573A57"/>
    <w:rsid w:val="00574AB5"/>
    <w:rsid w:val="00575350"/>
    <w:rsid w:val="00575AC0"/>
    <w:rsid w:val="00575DE9"/>
    <w:rsid w:val="00582D61"/>
    <w:rsid w:val="00594D25"/>
    <w:rsid w:val="005A0735"/>
    <w:rsid w:val="005A1046"/>
    <w:rsid w:val="005A33B1"/>
    <w:rsid w:val="005A41FB"/>
    <w:rsid w:val="005A6A33"/>
    <w:rsid w:val="005B4002"/>
    <w:rsid w:val="005B47A8"/>
    <w:rsid w:val="005B5C23"/>
    <w:rsid w:val="005B681C"/>
    <w:rsid w:val="005C224E"/>
    <w:rsid w:val="005C3C55"/>
    <w:rsid w:val="005C710A"/>
    <w:rsid w:val="005D7C0D"/>
    <w:rsid w:val="005E2124"/>
    <w:rsid w:val="005E7166"/>
    <w:rsid w:val="005F2D27"/>
    <w:rsid w:val="005F3734"/>
    <w:rsid w:val="005F5002"/>
    <w:rsid w:val="005F730C"/>
    <w:rsid w:val="006038ED"/>
    <w:rsid w:val="00603A55"/>
    <w:rsid w:val="00605851"/>
    <w:rsid w:val="00605F5F"/>
    <w:rsid w:val="006113F4"/>
    <w:rsid w:val="00612999"/>
    <w:rsid w:val="00612D3F"/>
    <w:rsid w:val="00612F63"/>
    <w:rsid w:val="00613CA5"/>
    <w:rsid w:val="00613DF6"/>
    <w:rsid w:val="00613E4C"/>
    <w:rsid w:val="006148ED"/>
    <w:rsid w:val="00615AC2"/>
    <w:rsid w:val="00617D67"/>
    <w:rsid w:val="00620979"/>
    <w:rsid w:val="00621B9E"/>
    <w:rsid w:val="0062251C"/>
    <w:rsid w:val="0062361C"/>
    <w:rsid w:val="00623642"/>
    <w:rsid w:val="00623B37"/>
    <w:rsid w:val="00624443"/>
    <w:rsid w:val="006278BF"/>
    <w:rsid w:val="0063062D"/>
    <w:rsid w:val="006331B3"/>
    <w:rsid w:val="00633318"/>
    <w:rsid w:val="006362FC"/>
    <w:rsid w:val="006458D8"/>
    <w:rsid w:val="006474BF"/>
    <w:rsid w:val="0065030F"/>
    <w:rsid w:val="00650B15"/>
    <w:rsid w:val="00651991"/>
    <w:rsid w:val="00654307"/>
    <w:rsid w:val="00654F88"/>
    <w:rsid w:val="00655B14"/>
    <w:rsid w:val="00661906"/>
    <w:rsid w:val="00663DF4"/>
    <w:rsid w:val="006650D5"/>
    <w:rsid w:val="00665347"/>
    <w:rsid w:val="00667208"/>
    <w:rsid w:val="00670D2D"/>
    <w:rsid w:val="00677CF7"/>
    <w:rsid w:val="006832C4"/>
    <w:rsid w:val="00686D43"/>
    <w:rsid w:val="0069058A"/>
    <w:rsid w:val="00691B6E"/>
    <w:rsid w:val="006927C2"/>
    <w:rsid w:val="006934FA"/>
    <w:rsid w:val="00693888"/>
    <w:rsid w:val="006A0D19"/>
    <w:rsid w:val="006A144F"/>
    <w:rsid w:val="006A2453"/>
    <w:rsid w:val="006A2C3A"/>
    <w:rsid w:val="006A399A"/>
    <w:rsid w:val="006A447A"/>
    <w:rsid w:val="006A5D80"/>
    <w:rsid w:val="006B1D92"/>
    <w:rsid w:val="006B39CF"/>
    <w:rsid w:val="006B3A10"/>
    <w:rsid w:val="006B4962"/>
    <w:rsid w:val="006B5D5E"/>
    <w:rsid w:val="006C2B65"/>
    <w:rsid w:val="006C4C61"/>
    <w:rsid w:val="006C522D"/>
    <w:rsid w:val="006C6EA1"/>
    <w:rsid w:val="006D0595"/>
    <w:rsid w:val="006D0799"/>
    <w:rsid w:val="006D0F03"/>
    <w:rsid w:val="006D252D"/>
    <w:rsid w:val="006D29A5"/>
    <w:rsid w:val="006D3EB8"/>
    <w:rsid w:val="006D42D0"/>
    <w:rsid w:val="006D4ABB"/>
    <w:rsid w:val="006D577F"/>
    <w:rsid w:val="006E0A46"/>
    <w:rsid w:val="006E3D61"/>
    <w:rsid w:val="006E6B4E"/>
    <w:rsid w:val="006E7A97"/>
    <w:rsid w:val="006F1257"/>
    <w:rsid w:val="00700072"/>
    <w:rsid w:val="007012BA"/>
    <w:rsid w:val="00702259"/>
    <w:rsid w:val="00702863"/>
    <w:rsid w:val="00705B5F"/>
    <w:rsid w:val="00705BC3"/>
    <w:rsid w:val="00705DA4"/>
    <w:rsid w:val="00706CFF"/>
    <w:rsid w:val="00706D60"/>
    <w:rsid w:val="00707522"/>
    <w:rsid w:val="00710A01"/>
    <w:rsid w:val="00712980"/>
    <w:rsid w:val="00713ABB"/>
    <w:rsid w:val="00713F01"/>
    <w:rsid w:val="007143C3"/>
    <w:rsid w:val="0071453E"/>
    <w:rsid w:val="0071523A"/>
    <w:rsid w:val="00716A16"/>
    <w:rsid w:val="007173A6"/>
    <w:rsid w:val="007235A6"/>
    <w:rsid w:val="0072485F"/>
    <w:rsid w:val="0073295D"/>
    <w:rsid w:val="007367BF"/>
    <w:rsid w:val="00740D42"/>
    <w:rsid w:val="00742739"/>
    <w:rsid w:val="00744AAE"/>
    <w:rsid w:val="00744F4A"/>
    <w:rsid w:val="00745147"/>
    <w:rsid w:val="007463F6"/>
    <w:rsid w:val="00751B24"/>
    <w:rsid w:val="00751CDA"/>
    <w:rsid w:val="0075276B"/>
    <w:rsid w:val="00755C49"/>
    <w:rsid w:val="00755EC0"/>
    <w:rsid w:val="0075632D"/>
    <w:rsid w:val="00756D8B"/>
    <w:rsid w:val="007579EE"/>
    <w:rsid w:val="0076032C"/>
    <w:rsid w:val="00761239"/>
    <w:rsid w:val="00762126"/>
    <w:rsid w:val="00766721"/>
    <w:rsid w:val="0077768D"/>
    <w:rsid w:val="00781099"/>
    <w:rsid w:val="007832C3"/>
    <w:rsid w:val="0078361B"/>
    <w:rsid w:val="007842B4"/>
    <w:rsid w:val="0078651C"/>
    <w:rsid w:val="007871D4"/>
    <w:rsid w:val="00787594"/>
    <w:rsid w:val="00790072"/>
    <w:rsid w:val="00795B58"/>
    <w:rsid w:val="00796713"/>
    <w:rsid w:val="00796CBD"/>
    <w:rsid w:val="007A2DA4"/>
    <w:rsid w:val="007A43B7"/>
    <w:rsid w:val="007A4A06"/>
    <w:rsid w:val="007A53B0"/>
    <w:rsid w:val="007B1C7A"/>
    <w:rsid w:val="007B31F2"/>
    <w:rsid w:val="007B3DA8"/>
    <w:rsid w:val="007B436B"/>
    <w:rsid w:val="007B4B08"/>
    <w:rsid w:val="007B53F9"/>
    <w:rsid w:val="007B6D27"/>
    <w:rsid w:val="007C047E"/>
    <w:rsid w:val="007C2B1D"/>
    <w:rsid w:val="007C3158"/>
    <w:rsid w:val="007C45B0"/>
    <w:rsid w:val="007C47D1"/>
    <w:rsid w:val="007C5FFD"/>
    <w:rsid w:val="007C6D19"/>
    <w:rsid w:val="007D1A76"/>
    <w:rsid w:val="007D2825"/>
    <w:rsid w:val="007D62ED"/>
    <w:rsid w:val="007D7BB1"/>
    <w:rsid w:val="007D7DA1"/>
    <w:rsid w:val="007E0D15"/>
    <w:rsid w:val="007E3821"/>
    <w:rsid w:val="007E4C33"/>
    <w:rsid w:val="007F02BB"/>
    <w:rsid w:val="007F0C40"/>
    <w:rsid w:val="007F66CD"/>
    <w:rsid w:val="007F6811"/>
    <w:rsid w:val="00800E1E"/>
    <w:rsid w:val="00802D80"/>
    <w:rsid w:val="00807C6F"/>
    <w:rsid w:val="0081074D"/>
    <w:rsid w:val="008108E8"/>
    <w:rsid w:val="0081167E"/>
    <w:rsid w:val="0081291B"/>
    <w:rsid w:val="00812DF8"/>
    <w:rsid w:val="00812FC1"/>
    <w:rsid w:val="00814415"/>
    <w:rsid w:val="00814765"/>
    <w:rsid w:val="008167BE"/>
    <w:rsid w:val="008204B5"/>
    <w:rsid w:val="00820F2C"/>
    <w:rsid w:val="008216C7"/>
    <w:rsid w:val="00824140"/>
    <w:rsid w:val="0082549D"/>
    <w:rsid w:val="00827657"/>
    <w:rsid w:val="00827C89"/>
    <w:rsid w:val="008303E4"/>
    <w:rsid w:val="00832750"/>
    <w:rsid w:val="008329A5"/>
    <w:rsid w:val="008342BD"/>
    <w:rsid w:val="00834FDE"/>
    <w:rsid w:val="00835314"/>
    <w:rsid w:val="0084640E"/>
    <w:rsid w:val="00847DB4"/>
    <w:rsid w:val="00852746"/>
    <w:rsid w:val="00855913"/>
    <w:rsid w:val="00857E38"/>
    <w:rsid w:val="00861D96"/>
    <w:rsid w:val="00862EFD"/>
    <w:rsid w:val="00864503"/>
    <w:rsid w:val="00867A1B"/>
    <w:rsid w:val="008722DF"/>
    <w:rsid w:val="00873AC5"/>
    <w:rsid w:val="008774E5"/>
    <w:rsid w:val="00877565"/>
    <w:rsid w:val="008824CF"/>
    <w:rsid w:val="008864DF"/>
    <w:rsid w:val="008872BA"/>
    <w:rsid w:val="008874EB"/>
    <w:rsid w:val="00890210"/>
    <w:rsid w:val="00892F3A"/>
    <w:rsid w:val="00894763"/>
    <w:rsid w:val="008949FC"/>
    <w:rsid w:val="00895930"/>
    <w:rsid w:val="008966D2"/>
    <w:rsid w:val="00897690"/>
    <w:rsid w:val="008A1E00"/>
    <w:rsid w:val="008A364D"/>
    <w:rsid w:val="008A4FF8"/>
    <w:rsid w:val="008B1135"/>
    <w:rsid w:val="008B3EE2"/>
    <w:rsid w:val="008B7191"/>
    <w:rsid w:val="008C0FB6"/>
    <w:rsid w:val="008C749F"/>
    <w:rsid w:val="008D19FA"/>
    <w:rsid w:val="008D3BCA"/>
    <w:rsid w:val="008D48D6"/>
    <w:rsid w:val="008D59B4"/>
    <w:rsid w:val="008D7476"/>
    <w:rsid w:val="008E028E"/>
    <w:rsid w:val="008E2D03"/>
    <w:rsid w:val="008E6142"/>
    <w:rsid w:val="008E6185"/>
    <w:rsid w:val="008E6885"/>
    <w:rsid w:val="008E7BEB"/>
    <w:rsid w:val="008F044E"/>
    <w:rsid w:val="008F1ED5"/>
    <w:rsid w:val="008F342C"/>
    <w:rsid w:val="008F5021"/>
    <w:rsid w:val="008F5122"/>
    <w:rsid w:val="008F6F10"/>
    <w:rsid w:val="008F6F96"/>
    <w:rsid w:val="0090581E"/>
    <w:rsid w:val="0090691F"/>
    <w:rsid w:val="00910082"/>
    <w:rsid w:val="00911F87"/>
    <w:rsid w:val="00913439"/>
    <w:rsid w:val="00913C66"/>
    <w:rsid w:val="00914C71"/>
    <w:rsid w:val="0091594A"/>
    <w:rsid w:val="00916EA8"/>
    <w:rsid w:val="009220BB"/>
    <w:rsid w:val="009221E5"/>
    <w:rsid w:val="00924562"/>
    <w:rsid w:val="0092496C"/>
    <w:rsid w:val="0092593E"/>
    <w:rsid w:val="009271B7"/>
    <w:rsid w:val="00930013"/>
    <w:rsid w:val="0093017D"/>
    <w:rsid w:val="00930658"/>
    <w:rsid w:val="009334FD"/>
    <w:rsid w:val="009341EF"/>
    <w:rsid w:val="00934DF2"/>
    <w:rsid w:val="00937B27"/>
    <w:rsid w:val="009418F7"/>
    <w:rsid w:val="0094452B"/>
    <w:rsid w:val="0094738D"/>
    <w:rsid w:val="00947B21"/>
    <w:rsid w:val="009509E5"/>
    <w:rsid w:val="00951E2C"/>
    <w:rsid w:val="00955050"/>
    <w:rsid w:val="0095787C"/>
    <w:rsid w:val="00961E63"/>
    <w:rsid w:val="00964678"/>
    <w:rsid w:val="00964A05"/>
    <w:rsid w:val="00966597"/>
    <w:rsid w:val="00967003"/>
    <w:rsid w:val="00967406"/>
    <w:rsid w:val="00974F08"/>
    <w:rsid w:val="0097587A"/>
    <w:rsid w:val="009769C6"/>
    <w:rsid w:val="00980CE7"/>
    <w:rsid w:val="00983964"/>
    <w:rsid w:val="009851CB"/>
    <w:rsid w:val="009854CC"/>
    <w:rsid w:val="00987340"/>
    <w:rsid w:val="009A007F"/>
    <w:rsid w:val="009A19B2"/>
    <w:rsid w:val="009A1C4A"/>
    <w:rsid w:val="009A6C2C"/>
    <w:rsid w:val="009B059D"/>
    <w:rsid w:val="009B2866"/>
    <w:rsid w:val="009C0020"/>
    <w:rsid w:val="009C1B56"/>
    <w:rsid w:val="009C258C"/>
    <w:rsid w:val="009C2B16"/>
    <w:rsid w:val="009C3654"/>
    <w:rsid w:val="009C3CC7"/>
    <w:rsid w:val="009C432B"/>
    <w:rsid w:val="009C59D8"/>
    <w:rsid w:val="009C5FFA"/>
    <w:rsid w:val="009D1179"/>
    <w:rsid w:val="009D288E"/>
    <w:rsid w:val="009D40BE"/>
    <w:rsid w:val="009D64BB"/>
    <w:rsid w:val="009D7C5B"/>
    <w:rsid w:val="009E03DD"/>
    <w:rsid w:val="009E3A1E"/>
    <w:rsid w:val="009E5426"/>
    <w:rsid w:val="009E60FC"/>
    <w:rsid w:val="009E6F92"/>
    <w:rsid w:val="009F09FC"/>
    <w:rsid w:val="009F1CF0"/>
    <w:rsid w:val="009F60C1"/>
    <w:rsid w:val="00A00BBB"/>
    <w:rsid w:val="00A01A93"/>
    <w:rsid w:val="00A1156C"/>
    <w:rsid w:val="00A12685"/>
    <w:rsid w:val="00A142A5"/>
    <w:rsid w:val="00A148D8"/>
    <w:rsid w:val="00A17A92"/>
    <w:rsid w:val="00A17D69"/>
    <w:rsid w:val="00A27633"/>
    <w:rsid w:val="00A30F59"/>
    <w:rsid w:val="00A35D25"/>
    <w:rsid w:val="00A41406"/>
    <w:rsid w:val="00A4200A"/>
    <w:rsid w:val="00A43F2C"/>
    <w:rsid w:val="00A50E49"/>
    <w:rsid w:val="00A523CC"/>
    <w:rsid w:val="00A546ED"/>
    <w:rsid w:val="00A60217"/>
    <w:rsid w:val="00A60931"/>
    <w:rsid w:val="00A61374"/>
    <w:rsid w:val="00A619DE"/>
    <w:rsid w:val="00A62428"/>
    <w:rsid w:val="00A62E45"/>
    <w:rsid w:val="00A65040"/>
    <w:rsid w:val="00A66AAD"/>
    <w:rsid w:val="00A712EF"/>
    <w:rsid w:val="00A7197A"/>
    <w:rsid w:val="00A73140"/>
    <w:rsid w:val="00A73ED7"/>
    <w:rsid w:val="00A742F4"/>
    <w:rsid w:val="00A75761"/>
    <w:rsid w:val="00A75A08"/>
    <w:rsid w:val="00A768B2"/>
    <w:rsid w:val="00A81BE1"/>
    <w:rsid w:val="00A829ED"/>
    <w:rsid w:val="00A947CB"/>
    <w:rsid w:val="00A9678E"/>
    <w:rsid w:val="00A96DF8"/>
    <w:rsid w:val="00AA0FAC"/>
    <w:rsid w:val="00AA2D0F"/>
    <w:rsid w:val="00AA76AE"/>
    <w:rsid w:val="00AB1126"/>
    <w:rsid w:val="00AB1FC1"/>
    <w:rsid w:val="00AB25F5"/>
    <w:rsid w:val="00AB4EEC"/>
    <w:rsid w:val="00AB64DE"/>
    <w:rsid w:val="00AB6F19"/>
    <w:rsid w:val="00AC0FF6"/>
    <w:rsid w:val="00AC17FA"/>
    <w:rsid w:val="00AC32F9"/>
    <w:rsid w:val="00AD18A2"/>
    <w:rsid w:val="00AD380C"/>
    <w:rsid w:val="00AD38CE"/>
    <w:rsid w:val="00AD3ACF"/>
    <w:rsid w:val="00AD4728"/>
    <w:rsid w:val="00AE045A"/>
    <w:rsid w:val="00AE1FD2"/>
    <w:rsid w:val="00AE2D7A"/>
    <w:rsid w:val="00AE42EC"/>
    <w:rsid w:val="00AE4F7C"/>
    <w:rsid w:val="00AE539F"/>
    <w:rsid w:val="00AF2495"/>
    <w:rsid w:val="00AF2749"/>
    <w:rsid w:val="00AF353D"/>
    <w:rsid w:val="00AF4AA4"/>
    <w:rsid w:val="00AF7E13"/>
    <w:rsid w:val="00B00ADD"/>
    <w:rsid w:val="00B00B91"/>
    <w:rsid w:val="00B04F3B"/>
    <w:rsid w:val="00B05148"/>
    <w:rsid w:val="00B07754"/>
    <w:rsid w:val="00B121FF"/>
    <w:rsid w:val="00B12A90"/>
    <w:rsid w:val="00B1425A"/>
    <w:rsid w:val="00B15BD1"/>
    <w:rsid w:val="00B161AD"/>
    <w:rsid w:val="00B21B82"/>
    <w:rsid w:val="00B222EB"/>
    <w:rsid w:val="00B238D8"/>
    <w:rsid w:val="00B25DBE"/>
    <w:rsid w:val="00B27B22"/>
    <w:rsid w:val="00B27D90"/>
    <w:rsid w:val="00B3135D"/>
    <w:rsid w:val="00B3588A"/>
    <w:rsid w:val="00B41391"/>
    <w:rsid w:val="00B4172D"/>
    <w:rsid w:val="00B44DD7"/>
    <w:rsid w:val="00B538CF"/>
    <w:rsid w:val="00B55313"/>
    <w:rsid w:val="00B569EB"/>
    <w:rsid w:val="00B60727"/>
    <w:rsid w:val="00B619C7"/>
    <w:rsid w:val="00B6644D"/>
    <w:rsid w:val="00B67D94"/>
    <w:rsid w:val="00B700EF"/>
    <w:rsid w:val="00B7066A"/>
    <w:rsid w:val="00B70EF8"/>
    <w:rsid w:val="00B71542"/>
    <w:rsid w:val="00B72A78"/>
    <w:rsid w:val="00B75BE8"/>
    <w:rsid w:val="00B824C4"/>
    <w:rsid w:val="00B85D8C"/>
    <w:rsid w:val="00B947A5"/>
    <w:rsid w:val="00B953BC"/>
    <w:rsid w:val="00B96DC1"/>
    <w:rsid w:val="00B97F83"/>
    <w:rsid w:val="00BA1CF4"/>
    <w:rsid w:val="00BA2020"/>
    <w:rsid w:val="00BA2BAD"/>
    <w:rsid w:val="00BA2DDE"/>
    <w:rsid w:val="00BA2F57"/>
    <w:rsid w:val="00BA3F4B"/>
    <w:rsid w:val="00BA67E9"/>
    <w:rsid w:val="00BB02A0"/>
    <w:rsid w:val="00BB05A4"/>
    <w:rsid w:val="00BB3311"/>
    <w:rsid w:val="00BB4211"/>
    <w:rsid w:val="00BB55B5"/>
    <w:rsid w:val="00BB7952"/>
    <w:rsid w:val="00BB7E91"/>
    <w:rsid w:val="00BC0DAD"/>
    <w:rsid w:val="00BC1413"/>
    <w:rsid w:val="00BC1FBC"/>
    <w:rsid w:val="00BC303B"/>
    <w:rsid w:val="00BC4E1D"/>
    <w:rsid w:val="00BC548E"/>
    <w:rsid w:val="00BC784A"/>
    <w:rsid w:val="00BD2A98"/>
    <w:rsid w:val="00BD2B08"/>
    <w:rsid w:val="00BD2B31"/>
    <w:rsid w:val="00BD68A2"/>
    <w:rsid w:val="00BE0CE4"/>
    <w:rsid w:val="00BE2E42"/>
    <w:rsid w:val="00BE333E"/>
    <w:rsid w:val="00BE3A45"/>
    <w:rsid w:val="00BE425C"/>
    <w:rsid w:val="00BE46CF"/>
    <w:rsid w:val="00BE4D4B"/>
    <w:rsid w:val="00BE4E6E"/>
    <w:rsid w:val="00BF14CC"/>
    <w:rsid w:val="00BF4357"/>
    <w:rsid w:val="00BF658E"/>
    <w:rsid w:val="00BF6972"/>
    <w:rsid w:val="00C11579"/>
    <w:rsid w:val="00C1171C"/>
    <w:rsid w:val="00C20DFE"/>
    <w:rsid w:val="00C21837"/>
    <w:rsid w:val="00C25D5F"/>
    <w:rsid w:val="00C27ED0"/>
    <w:rsid w:val="00C311B7"/>
    <w:rsid w:val="00C3154B"/>
    <w:rsid w:val="00C3267B"/>
    <w:rsid w:val="00C3325A"/>
    <w:rsid w:val="00C33264"/>
    <w:rsid w:val="00C50EB7"/>
    <w:rsid w:val="00C51093"/>
    <w:rsid w:val="00C52289"/>
    <w:rsid w:val="00C54896"/>
    <w:rsid w:val="00C55457"/>
    <w:rsid w:val="00C5699A"/>
    <w:rsid w:val="00C6039E"/>
    <w:rsid w:val="00C607A2"/>
    <w:rsid w:val="00C60C8C"/>
    <w:rsid w:val="00C621FC"/>
    <w:rsid w:val="00C6230D"/>
    <w:rsid w:val="00C63DF3"/>
    <w:rsid w:val="00C67AEB"/>
    <w:rsid w:val="00C70EE1"/>
    <w:rsid w:val="00C802DC"/>
    <w:rsid w:val="00C80C4D"/>
    <w:rsid w:val="00C812FA"/>
    <w:rsid w:val="00C8267D"/>
    <w:rsid w:val="00C828CD"/>
    <w:rsid w:val="00C87246"/>
    <w:rsid w:val="00C948E3"/>
    <w:rsid w:val="00C964AD"/>
    <w:rsid w:val="00C97FF5"/>
    <w:rsid w:val="00CA489A"/>
    <w:rsid w:val="00CA4B80"/>
    <w:rsid w:val="00CA5855"/>
    <w:rsid w:val="00CA6D83"/>
    <w:rsid w:val="00CC0429"/>
    <w:rsid w:val="00CC0B2A"/>
    <w:rsid w:val="00CC32C2"/>
    <w:rsid w:val="00CC5301"/>
    <w:rsid w:val="00CD1466"/>
    <w:rsid w:val="00CD1F47"/>
    <w:rsid w:val="00CD26E1"/>
    <w:rsid w:val="00CD36B0"/>
    <w:rsid w:val="00CD42C6"/>
    <w:rsid w:val="00CD4FA8"/>
    <w:rsid w:val="00CD6B89"/>
    <w:rsid w:val="00CE172B"/>
    <w:rsid w:val="00CE26CB"/>
    <w:rsid w:val="00CE2CDA"/>
    <w:rsid w:val="00CE644B"/>
    <w:rsid w:val="00CE7DA1"/>
    <w:rsid w:val="00CF181B"/>
    <w:rsid w:val="00CF27B2"/>
    <w:rsid w:val="00CF65A3"/>
    <w:rsid w:val="00CF6A1E"/>
    <w:rsid w:val="00D00528"/>
    <w:rsid w:val="00D05B45"/>
    <w:rsid w:val="00D05C00"/>
    <w:rsid w:val="00D10326"/>
    <w:rsid w:val="00D1309B"/>
    <w:rsid w:val="00D15A19"/>
    <w:rsid w:val="00D175CF"/>
    <w:rsid w:val="00D2049B"/>
    <w:rsid w:val="00D2266B"/>
    <w:rsid w:val="00D24422"/>
    <w:rsid w:val="00D2668F"/>
    <w:rsid w:val="00D302F0"/>
    <w:rsid w:val="00D309A0"/>
    <w:rsid w:val="00D3268D"/>
    <w:rsid w:val="00D330F4"/>
    <w:rsid w:val="00D3475D"/>
    <w:rsid w:val="00D34AB7"/>
    <w:rsid w:val="00D43126"/>
    <w:rsid w:val="00D435EE"/>
    <w:rsid w:val="00D44C99"/>
    <w:rsid w:val="00D45D3D"/>
    <w:rsid w:val="00D46859"/>
    <w:rsid w:val="00D57F07"/>
    <w:rsid w:val="00D6010F"/>
    <w:rsid w:val="00D6186A"/>
    <w:rsid w:val="00D63698"/>
    <w:rsid w:val="00D64B06"/>
    <w:rsid w:val="00D64C48"/>
    <w:rsid w:val="00D6576D"/>
    <w:rsid w:val="00D6582D"/>
    <w:rsid w:val="00D763B7"/>
    <w:rsid w:val="00D77055"/>
    <w:rsid w:val="00D77345"/>
    <w:rsid w:val="00D80F2D"/>
    <w:rsid w:val="00D81207"/>
    <w:rsid w:val="00D8202F"/>
    <w:rsid w:val="00D90C16"/>
    <w:rsid w:val="00D91FF4"/>
    <w:rsid w:val="00D92EE4"/>
    <w:rsid w:val="00D931AA"/>
    <w:rsid w:val="00D93E34"/>
    <w:rsid w:val="00D94DC9"/>
    <w:rsid w:val="00DA1B87"/>
    <w:rsid w:val="00DA4F1A"/>
    <w:rsid w:val="00DA730B"/>
    <w:rsid w:val="00DA7B16"/>
    <w:rsid w:val="00DA7C25"/>
    <w:rsid w:val="00DB0093"/>
    <w:rsid w:val="00DB1D60"/>
    <w:rsid w:val="00DB449E"/>
    <w:rsid w:val="00DB4521"/>
    <w:rsid w:val="00DB6FFB"/>
    <w:rsid w:val="00DB7D7C"/>
    <w:rsid w:val="00DC0373"/>
    <w:rsid w:val="00DC1055"/>
    <w:rsid w:val="00DC152B"/>
    <w:rsid w:val="00DC192A"/>
    <w:rsid w:val="00DC197A"/>
    <w:rsid w:val="00DC6811"/>
    <w:rsid w:val="00DD052D"/>
    <w:rsid w:val="00DD2953"/>
    <w:rsid w:val="00DD3271"/>
    <w:rsid w:val="00DD4924"/>
    <w:rsid w:val="00DE0DEB"/>
    <w:rsid w:val="00DE4114"/>
    <w:rsid w:val="00DE60AE"/>
    <w:rsid w:val="00DE63CF"/>
    <w:rsid w:val="00DE7F8E"/>
    <w:rsid w:val="00DF0757"/>
    <w:rsid w:val="00DF09F9"/>
    <w:rsid w:val="00DF157C"/>
    <w:rsid w:val="00DF261B"/>
    <w:rsid w:val="00DF344D"/>
    <w:rsid w:val="00DF4C88"/>
    <w:rsid w:val="00DF4E13"/>
    <w:rsid w:val="00DF77B2"/>
    <w:rsid w:val="00DF7972"/>
    <w:rsid w:val="00E033EE"/>
    <w:rsid w:val="00E03EA9"/>
    <w:rsid w:val="00E070FB"/>
    <w:rsid w:val="00E10CF1"/>
    <w:rsid w:val="00E11426"/>
    <w:rsid w:val="00E12A0E"/>
    <w:rsid w:val="00E13370"/>
    <w:rsid w:val="00E1579D"/>
    <w:rsid w:val="00E16198"/>
    <w:rsid w:val="00E17B10"/>
    <w:rsid w:val="00E2132E"/>
    <w:rsid w:val="00E21574"/>
    <w:rsid w:val="00E245A2"/>
    <w:rsid w:val="00E25B7E"/>
    <w:rsid w:val="00E25CD7"/>
    <w:rsid w:val="00E26B83"/>
    <w:rsid w:val="00E26BA8"/>
    <w:rsid w:val="00E26E22"/>
    <w:rsid w:val="00E27521"/>
    <w:rsid w:val="00E27A8B"/>
    <w:rsid w:val="00E33D00"/>
    <w:rsid w:val="00E34CB2"/>
    <w:rsid w:val="00E3524D"/>
    <w:rsid w:val="00E3574E"/>
    <w:rsid w:val="00E36217"/>
    <w:rsid w:val="00E442D7"/>
    <w:rsid w:val="00E444F3"/>
    <w:rsid w:val="00E51C0E"/>
    <w:rsid w:val="00E52C8A"/>
    <w:rsid w:val="00E556FB"/>
    <w:rsid w:val="00E652A9"/>
    <w:rsid w:val="00E672CE"/>
    <w:rsid w:val="00E6746A"/>
    <w:rsid w:val="00E741CF"/>
    <w:rsid w:val="00E75886"/>
    <w:rsid w:val="00E830CF"/>
    <w:rsid w:val="00E84B54"/>
    <w:rsid w:val="00E8739D"/>
    <w:rsid w:val="00E875C9"/>
    <w:rsid w:val="00E935A0"/>
    <w:rsid w:val="00E938E2"/>
    <w:rsid w:val="00E9457B"/>
    <w:rsid w:val="00E97083"/>
    <w:rsid w:val="00EA2E2E"/>
    <w:rsid w:val="00EA4FF3"/>
    <w:rsid w:val="00EA5CEE"/>
    <w:rsid w:val="00EA6D2A"/>
    <w:rsid w:val="00EA79D5"/>
    <w:rsid w:val="00EB00C7"/>
    <w:rsid w:val="00EB2BBE"/>
    <w:rsid w:val="00EB565C"/>
    <w:rsid w:val="00EB64B6"/>
    <w:rsid w:val="00EB6B61"/>
    <w:rsid w:val="00EB7273"/>
    <w:rsid w:val="00ED1CF5"/>
    <w:rsid w:val="00ED31C9"/>
    <w:rsid w:val="00ED53B6"/>
    <w:rsid w:val="00ED5938"/>
    <w:rsid w:val="00ED686A"/>
    <w:rsid w:val="00EE04D0"/>
    <w:rsid w:val="00EE0A47"/>
    <w:rsid w:val="00EE4211"/>
    <w:rsid w:val="00EE7AEF"/>
    <w:rsid w:val="00EF22A4"/>
    <w:rsid w:val="00EF38DD"/>
    <w:rsid w:val="00EF7ED8"/>
    <w:rsid w:val="00F01A36"/>
    <w:rsid w:val="00F028BE"/>
    <w:rsid w:val="00F0586A"/>
    <w:rsid w:val="00F063E9"/>
    <w:rsid w:val="00F077DF"/>
    <w:rsid w:val="00F105B6"/>
    <w:rsid w:val="00F114DB"/>
    <w:rsid w:val="00F131C9"/>
    <w:rsid w:val="00F13267"/>
    <w:rsid w:val="00F13420"/>
    <w:rsid w:val="00F13BDC"/>
    <w:rsid w:val="00F15BF5"/>
    <w:rsid w:val="00F15C7B"/>
    <w:rsid w:val="00F1718A"/>
    <w:rsid w:val="00F210D1"/>
    <w:rsid w:val="00F2514B"/>
    <w:rsid w:val="00F254AD"/>
    <w:rsid w:val="00F265AB"/>
    <w:rsid w:val="00F26AAE"/>
    <w:rsid w:val="00F31011"/>
    <w:rsid w:val="00F31021"/>
    <w:rsid w:val="00F33188"/>
    <w:rsid w:val="00F33B8F"/>
    <w:rsid w:val="00F34223"/>
    <w:rsid w:val="00F34505"/>
    <w:rsid w:val="00F36A4D"/>
    <w:rsid w:val="00F40767"/>
    <w:rsid w:val="00F50C57"/>
    <w:rsid w:val="00F62454"/>
    <w:rsid w:val="00F64DA9"/>
    <w:rsid w:val="00F66BB9"/>
    <w:rsid w:val="00F71634"/>
    <w:rsid w:val="00F71FEA"/>
    <w:rsid w:val="00F752EA"/>
    <w:rsid w:val="00F80AF7"/>
    <w:rsid w:val="00F82D52"/>
    <w:rsid w:val="00F83112"/>
    <w:rsid w:val="00F86F64"/>
    <w:rsid w:val="00F877E2"/>
    <w:rsid w:val="00F91226"/>
    <w:rsid w:val="00F92C0A"/>
    <w:rsid w:val="00FA0394"/>
    <w:rsid w:val="00FB1070"/>
    <w:rsid w:val="00FB27DA"/>
    <w:rsid w:val="00FB3096"/>
    <w:rsid w:val="00FB42AA"/>
    <w:rsid w:val="00FB56E5"/>
    <w:rsid w:val="00FC072A"/>
    <w:rsid w:val="00FC3682"/>
    <w:rsid w:val="00FC3BB1"/>
    <w:rsid w:val="00FD2329"/>
    <w:rsid w:val="00FD23C2"/>
    <w:rsid w:val="00FD38F9"/>
    <w:rsid w:val="00FD40F0"/>
    <w:rsid w:val="00FD52E9"/>
    <w:rsid w:val="00FD6FDD"/>
    <w:rsid w:val="00FD7ED7"/>
    <w:rsid w:val="00FE5EF3"/>
    <w:rsid w:val="00FE7369"/>
    <w:rsid w:val="00FF22D6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87A3FC3"/>
  <w15:docId w15:val="{4F222EE1-EC70-40DA-A503-2F3F4D9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B5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uiPriority w:val="99"/>
    <w:rsid w:val="00036B56"/>
    <w:pPr>
      <w:autoSpaceDE w:val="0"/>
      <w:autoSpaceDN w:val="0"/>
      <w:adjustRightInd w:val="0"/>
      <w:spacing w:after="0" w:line="560" w:lineRule="atLeast"/>
      <w:textAlignment w:val="center"/>
    </w:pPr>
    <w:rPr>
      <w:rFonts w:ascii="Arial Black" w:hAnsi="Arial Black" w:cs="Arial Black"/>
      <w:color w:val="000000"/>
      <w:sz w:val="46"/>
      <w:szCs w:val="46"/>
    </w:rPr>
  </w:style>
  <w:style w:type="character" w:styleId="Odkaznakoment">
    <w:name w:val="annotation reference"/>
    <w:uiPriority w:val="99"/>
    <w:semiHidden/>
    <w:unhideWhenUsed/>
    <w:rsid w:val="00036B56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B56"/>
    <w:rPr>
      <w:rFonts w:ascii="Calibri" w:eastAsia="Times New Roman" w:hAnsi="Calibri" w:cs="Times New Roman"/>
      <w:sz w:val="20"/>
      <w:szCs w:val="20"/>
    </w:rPr>
  </w:style>
  <w:style w:type="character" w:styleId="Hypertextovodkaz">
    <w:name w:val="Hyperlink"/>
    <w:uiPriority w:val="99"/>
    <w:unhideWhenUsed/>
    <w:rsid w:val="00036B5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B56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00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00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5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B14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5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B14"/>
    <w:rPr>
      <w:rFonts w:ascii="Calibri" w:eastAsia="Times New Roman" w:hAnsi="Calibri" w:cs="Times New Roman"/>
    </w:rPr>
  </w:style>
  <w:style w:type="character" w:styleId="Siln">
    <w:name w:val="Strong"/>
    <w:basedOn w:val="Standardnpsmoodstavce"/>
    <w:uiPriority w:val="22"/>
    <w:qFormat/>
    <w:rsid w:val="00827C89"/>
    <w:rPr>
      <w:b/>
      <w:bCs/>
    </w:rPr>
  </w:style>
  <w:style w:type="table" w:styleId="Mkatabulky">
    <w:name w:val="Table Grid"/>
    <w:basedOn w:val="Normlntabulka"/>
    <w:uiPriority w:val="39"/>
    <w:rsid w:val="0074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4A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97AE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97AE6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B121FF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78651C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70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jemelka\AppData\Local\Temp\www.central-grou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131E-38EB-42F9-91F2-2CD285FD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jankovsky</dc:creator>
  <cp:lastModifiedBy>fialkova</cp:lastModifiedBy>
  <cp:revision>11</cp:revision>
  <cp:lastPrinted>2019-02-07T07:28:00Z</cp:lastPrinted>
  <dcterms:created xsi:type="dcterms:W3CDTF">2019-02-06T10:02:00Z</dcterms:created>
  <dcterms:modified xsi:type="dcterms:W3CDTF">2019-02-07T08:29:00Z</dcterms:modified>
</cp:coreProperties>
</file>